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21/2011/QĐ-UBND bãi bỏ văn bản quy phạm pháp luật của Ủy ban nhân dân huyện không còn phù hợp với quy định của pháp luật hiện hành do Ủy ban nhân dân huyện Cần Giờ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HUYỆN CẦN GIỜ</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21/2011/QĐ-UBND</w:t>
      </w:r>
      <w:r>
        <w:rPr>
          <w:b w:val="0"/>
          <w:i w:val="0"/>
        </w:rPr>
        <w:br/>
      </w:r>
      <w:r>
        <w:rPr>
          <w:b w:val="0"/>
          <w:i w:val="0"/>
        </w:rPr>
        <w:br/>
      </w:r>
      <w:r>
        <w:rPr>
          <w:b w:val="0"/>
          <w:i/>
        </w:rPr>
        <w:br/>
      </w:r>
      <w:r>
        <w:rPr>
          <w:b w:val="0"/>
          <w:i/>
        </w:rPr>
        <w:t>Cần Giờ, ngày 30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HUYỆN CẦN GIỜ</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21/2011/QĐ-UBND</w:t>
      </w:r>
      <w:r>
        <w:rPr>
          <w:b w:val="0"/>
          <w:i w:val="0"/>
        </w:rPr>
        <w:br/>
      </w:r>
      <w:r>
        <w:rPr>
          <w:b w:val="0"/>
          <w:i w:val="0"/>
        </w:rPr>
        <w:br/>
      </w:r>
      <w:r>
        <w:rPr>
          <w:b w:val="0"/>
          <w:i/>
        </w:rPr>
        <w:br/>
      </w:r>
      <w:r>
        <w:rPr>
          <w:b w:val="0"/>
          <w:i/>
        </w:rPr>
        <w:t>Cần Giờ, ngày 30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HUYỆN CẦN GIỜ</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HUYỆN CẦN GIỜ</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HUYỆN CẦN GIỜ</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21/2011/QĐ-UBND</w:t>
      </w:r>
      <w:r>
        <w:rPr>
          <w:b w:val="0"/>
          <w:i w:val="0"/>
        </w:rPr>
        <w:br/>
      </w:r>
      <w:r>
        <w:rPr>
          <w:b w:val="0"/>
          <w:i w:val="0"/>
        </w:rPr>
        <w:br/>
      </w:r>
      <w:r>
        <w:rPr>
          <w:b w:val="0"/>
          <w:i/>
        </w:rPr>
        <w:br/>
      </w:r>
      <w:r>
        <w:rPr>
          <w:b w:val="0"/>
          <w:i/>
        </w:rPr>
        <w:t>Cần Giờ, ngày 30 tháng 12 năm 2011</w:t>
      </w:r>
      <w:r>
        <w:rPr>
          <w:b w:val="0"/>
          <w:i/>
        </w:rPr>
        <w:br/>
      </w:r>
      <w:r>
        <w:rPr>
          <w:b w:val="0"/>
          <w:i w:val="0"/>
        </w:rPr>
        <w:br/>
      </w:r>
    </w:p>
    <w:p>
      <w:pPr>
        <w:jc w:val="center"/>
      </w:pPr>
      <w:r>
        <w:rPr>
          <w:b w:val="0"/>
          <w:i w:val="0"/>
        </w:rPr>
        <w:br/>
      </w:r>
      <w:r>
        <w:rPr>
          <w:b w:val="0"/>
          <w:i w:val="0"/>
        </w:rPr>
        <w:t>Số: 21/2011/QĐ-UBND</w:t>
      </w:r>
      <w:r>
        <w:rPr>
          <w:b w:val="0"/>
          <w:i w:val="0"/>
        </w:rPr>
        <w:br/>
      </w:r>
    </w:p>
    <w:p>
      <w:pPr>
        <w:jc w:val="center"/>
      </w:pPr>
      <w:r>
        <w:rPr>
          <w:b w:val="0"/>
          <w:i w:val="0"/>
        </w:rPr>
        <w:br/>
      </w:r>
      <w:r>
        <w:rPr>
          <w:b w:val="0"/>
          <w:i w:val="0"/>
        </w:rPr>
        <w:t>Cần Giờ, ngày 30 tháng 12 năm 2011</w:t>
      </w:r>
      <w:r>
        <w:rPr>
          <w:b w:val="0"/>
          <w:i w:val="0"/>
        </w:rPr>
        <w:br/>
      </w:r>
    </w:p>
    <w:p>
      <w:pPr>
        <w:jc w:val="center"/>
      </w:pPr>
      <w:r>
        <w:rPr>
          <w:b/>
          <w:i w:val="0"/>
        </w:rPr>
        <w:t>QUYẾT ĐỊNH</w:t>
      </w:r>
    </w:p>
    <w:p>
      <w:pPr>
        <w:jc w:val="center"/>
      </w:pPr>
      <w:r>
        <w:rPr>
          <w:b w:val="0"/>
          <w:i w:val="0"/>
        </w:rPr>
        <w:t>VỀ BÃI BỎ CÁC VĂN BẢN QUY PHẠM PHÁP LUẬT CỦA ỦY BAN NHÂN DÂN HUYỆN KHÔNG CÒN PHÙ HỢP VỚI QUY ĐỊNH CỦA PHÁP LUẬT HIỆN HÀNH</w:t>
      </w:r>
    </w:p>
    <w:p>
      <w:pPr>
        <w:jc w:val="center"/>
      </w:pPr>
      <w:r>
        <w:rPr>
          <w:b/>
          <w:i w:val="0"/>
        </w:rPr>
        <w:t>ỦY BAN NHÂN DÂN HUYỆN CẦN GIỜ</w:t>
      </w:r>
    </w:p>
    <w:p>
      <w:r>
        <w:rPr>
          <w:b w:val="0"/>
          <w:i/>
        </w:rPr>
        <w:t>Căn cứ Luật Tổ chức Hội đồng nhân dân và Ủy ban nhân dân ngày 26 tháng 11 năm 2003;</w:t>
      </w:r>
    </w:p>
    <w:p>
      <w:r>
        <w:rPr>
          <w:b w:val="0"/>
          <w:i/>
        </w:rPr>
        <w:t>Căn cứ Nghị quyết số 26/2008/QH12 ngày 15 tháng 11 năm 2008 của Quốc hội khóa XII về thực hiện thí điểm không tổ chức Hội đồng nhân dân huyện, quận, phường;</w:t>
      </w:r>
    </w:p>
    <w:p>
      <w:r>
        <w:rPr>
          <w:b w:val="0"/>
          <w:i/>
        </w:rPr>
        <w:t>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p>
    <w:p>
      <w:r>
        <w:rPr>
          <w:b w:val="0"/>
          <w:i/>
        </w:rPr>
        <w:t>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p>
    <w:p>
      <w:r>
        <w:rPr>
          <w:b w:val="0"/>
          <w:i/>
        </w:rPr>
        <w:t>Căn cứ Luật Ban hành văn bản quy phạm pháp luật của Hội đồng nhân dân và Ủy ban nhân dân ngày 03 tháng 12 năm 2004;</w:t>
      </w:r>
    </w:p>
    <w:p>
      <w:r>
        <w:rPr>
          <w:b w:val="0"/>
          <w:i/>
        </w:rPr>
        <w:t>Căn cứ Nghị định số 40/2010/NĐ-CP ngày 12 tháng 4 năm 2010 của Chính phủ về kiểm tra và xử lý văn bản quy phạm pháp luật;</w:t>
      </w:r>
    </w:p>
    <w:p>
      <w:r>
        <w:rPr>
          <w:b w:val="0"/>
          <w:i/>
        </w:rPr>
        <w:t>Căn cứ Thông tư số 20/2010/TT-BTP ngày 30 tháng 11 năm 2010 của Bộ Tư pháp quy định chi tiết thi hành một số điều của Nghị định số 40/2010/NĐ-CP ngày 12 tháng 4 năm 2010 của Chính phủ về kiểm tra và xử lý văn bản quy phạm pháp luật;</w:t>
      </w:r>
    </w:p>
    <w:p>
      <w:r>
        <w:rPr>
          <w:b w:val="0"/>
          <w:i/>
        </w:rPr>
        <w:t>Căn cứ Quyết định số 75/2011/QĐ-UBND ngày 21 tháng 11 năm 2011 của Ủy ban nhân dân thành phố về ban hành Quy chế về kiểm tra, xử lý và rà soát, hệ thống hóa văn bản quy phạm pháp luật trên địa bàn Thành phố Hồ Chí Minh;</w:t>
      </w:r>
    </w:p>
    <w:p>
      <w:r>
        <w:rPr>
          <w:b w:val="0"/>
          <w:i/>
        </w:rPr>
        <w:t>Xét đề nghị của Trưởng Phòng Tư pháp huyện tại Công văn số 269/TP ngày 23 tháng 12 năm 2011,</w:t>
      </w:r>
    </w:p>
    <w:p>
      <w:pPr>
        <w:jc w:val="center"/>
      </w:pPr>
      <w:r>
        <w:rPr>
          <w:b/>
          <w:i w:val="0"/>
        </w:rPr>
        <w:t>QUYẾT ĐỊNH</w:t>
      </w:r>
      <w:r>
        <w:rPr>
          <w:b/>
          <w:i w:val="0"/>
        </w:rPr>
        <w:t>:</w:t>
      </w:r>
    </w:p>
    <w:p>
      <w:r>
        <w:rPr>
          <w:b/>
          <w:i w:val="0"/>
        </w:rPr>
        <w:t xml:space="preserve">Điều 1. </w:t>
      </w:r>
      <w:r>
        <w:rPr>
          <w:b w:val="0"/>
          <w:i w:val="0"/>
        </w:rPr>
        <w:t>Nay công bố danh mục 111 văn bản quy phạm pháp luật do Ủy ban nhân dân huyện ban hành từ năm 1994 đến tháng 12 năm 2011 đã hết hiệu lực thi hành (có Danh mục đính kèm).</w:t>
      </w:r>
    </w:p>
    <w:p>
      <w:r>
        <w:rPr>
          <w:b/>
          <w:i w:val="0"/>
        </w:rPr>
        <w:t xml:space="preserve">Điều 2. </w:t>
      </w:r>
      <w:r>
        <w:rPr>
          <w:b w:val="0"/>
          <w:i w:val="0"/>
        </w:rPr>
        <w:t>Quyết định này có hiệu lực thi hành sau 07 ngày, kể từ ngày ký.</w:t>
      </w:r>
    </w:p>
    <w:p>
      <w:r>
        <w:rPr>
          <w:b/>
          <w:i w:val="0"/>
        </w:rPr>
        <w:t xml:space="preserve">Điều 3. </w:t>
      </w:r>
      <w:r>
        <w:rPr>
          <w:b w:val="0"/>
          <w:i w:val="0"/>
        </w:rPr>
        <w:t>Chánh Văn phòng Ủy ban nhân dân huyện, Thủ trưởng các phòng, ban thuộc huyện, Chủ tịch Ủy ban nhân dân các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Cách Mạng</w:t>
            </w:r>
          </w:p>
        </w:tc>
      </w:tr>
    </w:tbl>
    <w:p>
      <w:pPr>
        <w:jc w:val="center"/>
      </w:pPr>
      <w:r>
        <w:rPr>
          <w:b/>
          <w:i w:val="0"/>
        </w:rPr>
        <w:t>DANH MỤC</w:t>
      </w:r>
    </w:p>
    <w:p>
      <w:pPr>
        <w:jc w:val="center"/>
      </w:pPr>
      <w:r>
        <w:rPr>
          <w:b w:val="0"/>
          <w:i w:val="0"/>
        </w:rPr>
        <w:t>195 VĂN BẢN QUY PHẠM PHÁP LUẬT DO ỦY BAN NHÂN DÂN HUYỆN BAN HÀNH TỪ NĂM 1994 ĐẾN THÁNG 12 NĂM 2011 CÒN HIỆU LỰC THI HÀNH</w:t>
      </w:r>
      <w:r>
        <w:br/>
      </w:r>
      <w:r>
        <w:rPr>
          <w:b w:val="0"/>
          <w:i/>
        </w:rPr>
        <w:t>(Kèm theo Quyết định số 21/QĐ-UBND ngày 30 tháng 12 năm 2011 của Ủy ban nhân dân huyện Cần Giờ)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Hình thức</w:t>
            </w:r>
          </w:p>
        </w:tc>
        <w:tc>
          <w:tcPr>
            <w:tcW w:type="dxa" w:w="1728"/>
          </w:tcPr>
          <w:p>
            <w:r>
              <w:rPr>
                <w:b w:val="0"/>
                <w:i w:val="0"/>
              </w:rPr>
              <w:br/>
            </w:r>
            <w:r>
              <w:rPr>
                <w:b w:val="0"/>
                <w:i w:val="0"/>
              </w:rPr>
              <w:t>Số văn bản</w:t>
            </w:r>
            <w:r>
              <w:rPr>
                <w:b w:val="0"/>
                <w:i w:val="0"/>
              </w:rPr>
              <w:br/>
            </w:r>
            <w:r>
              <w:rPr>
                <w:b w:val="0"/>
                <w:i w:val="0"/>
              </w:rPr>
              <w:t>Ngày ban hành</w:t>
            </w:r>
          </w:p>
        </w:tc>
        <w:tc>
          <w:tcPr>
            <w:tcW w:type="dxa" w:w="1728"/>
          </w:tcPr>
          <w:p>
            <w:r>
              <w:rPr>
                <w:b w:val="0"/>
                <w:i w:val="0"/>
              </w:rPr>
              <w:br/>
            </w:r>
            <w:r>
              <w:rPr>
                <w:b w:val="0"/>
                <w:i w:val="0"/>
              </w:rPr>
              <w:t>Trích yếu</w:t>
            </w:r>
          </w:p>
        </w:tc>
        <w:tc>
          <w:tcPr>
            <w:tcW w:type="dxa" w:w="1728"/>
          </w:tcPr>
          <w:p>
            <w:r>
              <w:rPr>
                <w:b w:val="0"/>
                <w:i w:val="0"/>
              </w:rPr>
              <w:br/>
            </w:r>
            <w:r>
              <w:rPr>
                <w:b w:val="0"/>
                <w:i w:val="0"/>
              </w:rPr>
              <w:t>Ghi chú</w:t>
            </w:r>
          </w:p>
        </w:tc>
      </w:tr>
    </w:tbl>
    <w:p>
      <w:pPr>
        <w:jc w:val="center"/>
      </w:pPr>
      <w:r>
        <w:rPr>
          <w:b/>
          <w:i w:val="0"/>
        </w:rPr>
        <w:t xml:space="preserve">DANH MỤC </w:t>
      </w:r>
    </w:p>
    <w:p>
      <w:pPr>
        <w:jc w:val="center"/>
      </w:pPr>
      <w:r>
        <w:rPr>
          <w:b w:val="0"/>
          <w:i w:val="0"/>
        </w:rPr>
        <w:t>111 VĂN BẢN QUY PHẠM PHÁP LUẬT DO ỦY BAN NHÂN DÂN HUYỆN BAN HÀNH TỪ NĂM 1994 ĐẾN THÁNG 12 NĂM 2011 ĐÃ HẾT HIỆU LỰC THI HÀNH</w:t>
      </w:r>
      <w:r>
        <w:br/>
      </w:r>
      <w:r>
        <w:rPr>
          <w:b w:val="0"/>
          <w:i/>
        </w:rPr>
        <w:t>(Kèm theo Quyết định số 21/2011/QĐ-UBND ngày 30 tháng 12 năm 2011 của Ủy ban nhân dân huyện Cần Giờ)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Hình thức</w:t>
            </w:r>
          </w:p>
        </w:tc>
        <w:tc>
          <w:tcPr>
            <w:tcW w:type="dxa" w:w="1728"/>
          </w:tcPr>
          <w:p>
            <w:r>
              <w:rPr>
                <w:b w:val="0"/>
                <w:i w:val="0"/>
              </w:rPr>
              <w:br/>
            </w:r>
            <w:r>
              <w:rPr>
                <w:b w:val="0"/>
                <w:i w:val="0"/>
              </w:rPr>
              <w:t>Số văn bản</w:t>
            </w:r>
            <w:r>
              <w:rPr>
                <w:b w:val="0"/>
                <w:i w:val="0"/>
              </w:rPr>
              <w:br/>
            </w:r>
            <w:r>
              <w:rPr>
                <w:b w:val="0"/>
                <w:i w:val="0"/>
              </w:rPr>
              <w:t>Ngày ban hành</w:t>
            </w:r>
          </w:p>
        </w:tc>
        <w:tc>
          <w:tcPr>
            <w:tcW w:type="dxa" w:w="1728"/>
          </w:tcPr>
          <w:p>
            <w:r>
              <w:rPr>
                <w:b w:val="0"/>
                <w:i w:val="0"/>
              </w:rPr>
              <w:br/>
            </w:r>
            <w:r>
              <w:rPr>
                <w:b w:val="0"/>
                <w:i w:val="0"/>
              </w:rPr>
              <w:t>Trích yếu</w:t>
            </w:r>
          </w:p>
        </w:tc>
        <w:tc>
          <w:tcPr>
            <w:tcW w:type="dxa" w:w="1728"/>
          </w:tcPr>
          <w:p>
            <w:r>
              <w:rPr>
                <w:b w:val="0"/>
                <w:i w:val="0"/>
              </w:rPr>
              <w:br/>
            </w:r>
            <w:r>
              <w:rPr>
                <w:b w:val="0"/>
                <w:i w:val="0"/>
              </w:rPr>
              <w:t>Ghi chú</w:t>
            </w:r>
          </w:p>
        </w:tc>
      </w:tr>
    </w:tbl>
    <w:p>
      <w:pPr>
        <w:jc w:val="center"/>
      </w:pPr>
      <w:r>
        <w:rPr>
          <w:b/>
          <w:i w:val="0"/>
        </w:rPr>
        <w:t xml:space="preserve">DANH MỤC </w:t>
      </w:r>
    </w:p>
    <w:p>
      <w:pPr>
        <w:jc w:val="center"/>
      </w:pPr>
      <w:r>
        <w:rPr>
          <w:b w:val="0"/>
          <w:i w:val="0"/>
        </w:rPr>
        <w:t>RÀ SOÁT 306 VĂN BẢN QUY PHẠM PHÁP LUẬT DO ỦY BAN NHÂN DÂN HUYỆN BAN HÀNH TỪ NĂM 1994 ĐẾN THÁNG 12 NĂM 2011</w:t>
      </w:r>
      <w:r>
        <w:br/>
      </w:r>
      <w:r>
        <w:rPr>
          <w:b w:val="0"/>
          <w:i/>
        </w:rPr>
        <w:t>(Kèm theo Quyết định số 21/2011/QĐ-UBND ngày 30 tháng 12 năm 2011 của Ủy ban nhân dân huyện Cần Giờ)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Hình thức</w:t>
            </w:r>
          </w:p>
        </w:tc>
        <w:tc>
          <w:tcPr>
            <w:tcW w:type="dxa" w:w="1728"/>
          </w:tcPr>
          <w:p>
            <w:r>
              <w:rPr>
                <w:b w:val="0"/>
                <w:i w:val="0"/>
              </w:rPr>
              <w:br/>
            </w:r>
            <w:r>
              <w:rPr>
                <w:b w:val="0"/>
                <w:i w:val="0"/>
              </w:rPr>
              <w:t>Số văn bản</w:t>
            </w:r>
            <w:r>
              <w:rPr>
                <w:b w:val="0"/>
                <w:i w:val="0"/>
              </w:rPr>
              <w:br/>
            </w:r>
            <w:r>
              <w:rPr>
                <w:b w:val="0"/>
                <w:i w:val="0"/>
              </w:rPr>
              <w:t>Ngày ban hành</w:t>
            </w:r>
          </w:p>
        </w:tc>
        <w:tc>
          <w:tcPr>
            <w:tcW w:type="dxa" w:w="1728"/>
          </w:tcPr>
          <w:p>
            <w:r>
              <w:rPr>
                <w:b w:val="0"/>
                <w:i w:val="0"/>
              </w:rPr>
              <w:br/>
            </w:r>
            <w:r>
              <w:rPr>
                <w:b w:val="0"/>
                <w:i w:val="0"/>
              </w:rPr>
              <w:t>Trích yếu</w:t>
            </w:r>
          </w:p>
        </w:tc>
        <w:tc>
          <w:tcPr>
            <w:tcW w:type="dxa" w:w="1728"/>
          </w:tcPr>
          <w:p>
            <w:r>
              <w:rPr>
                <w:b w:val="0"/>
                <w:i w:val="0"/>
              </w:rPr>
              <w:br/>
            </w:r>
            <w:r>
              <w:rPr>
                <w:b w:val="0"/>
                <w:i w:val="0"/>
              </w:rPr>
              <w:t>Ghi chú</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Cách Mạng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Cách Mạng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Cách Mạng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Cách Mạng</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Cách Mạng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Cách Mạng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Cách Mạng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Cách Mạng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