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21/2022/NQ-HĐND Sửa đổi Điều 2 của Nghị quyết số 01/2022/NQ-HĐND ngày 15 tháng 4 năm 2022 của Hội đồng nhân dân tỉnh về bổ sung danh mục các dự án thu hồi đất năm 2022 tỉnh Đồng Nai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Sửa đổi Điều 2 của Nghị quyết số 01/2022/NQ-HĐND ngày 15 tháng 4 năm 2022 của Hội đồng nhân dân tỉnh về bổ sung danh mục các dự án thu hồi đất năm 2022 tỉnh Đồng Nai</w:t>
      </w:r>
    </w:p>
    <w:p>
      <w:pPr>
        <w:jc w:val="center"/>
      </w:pPr>
      <w:r>
        <w:rPr>
          <w:b/>
          <w:i w:val="0"/>
        </w:rPr>
        <w:t>HỘI ĐỒNG NHÂN DÂN TỈNH ĐỒNG NAI</w:t>
      </w:r>
      <w:r>
        <w:br/>
      </w:r>
      <w:r>
        <w:rPr>
          <w:b/>
          <w:i w:val="0"/>
        </w:rPr>
        <w:br/>
        <w:t xml:space="preserve">     KHÓA X KỲ HỌP THỨ 9</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Đất đai ngày 29 tháng 11 năm 2013;</w:t>
      </w:r>
    </w:p>
    <w:p>
      <w:r>
        <w:rPr>
          <w:b w:val="0"/>
          <w:i/>
        </w:rPr>
        <w:t>Căn cứ Nghị định số 43/2014/NĐ-CP ngày 15 tháng 5 năm 2014 của Chính phủ quy định chi tiết thi hành một số điều của Luật Đất đai;</w:t>
      </w:r>
    </w:p>
    <w:p>
      <w:r>
        <w:rPr>
          <w:b w:val="0"/>
          <w:i/>
        </w:rPr>
        <w:t>Căn cứ Nghị định số 148/2020/NĐ-CP ngày 18 tháng 12 năm 2020 của Chính phủ sửa đổi, bổ sung một số nghị định quy định chi tiết thi hành Luật Đất đai;</w:t>
      </w:r>
    </w:p>
    <w:p>
      <w:r>
        <w:rPr>
          <w:b w:val="0"/>
          <w:i/>
        </w:rPr>
        <w:t>Căn cứ Nghị định số 31/2021/NĐ-CP ngày 26 tháng 3 năm 2021 của Chính phủ quy định chi tiết và hướng dẫn một số điều của Luật Đầu tư;</w:t>
      </w:r>
    </w:p>
    <w:p>
      <w:r>
        <w:rPr>
          <w:b w:val="0"/>
          <w:i/>
        </w:rPr>
        <w:t>Căn cứ Thông tư số 01/2021/TT-BTNMT ngày 12 tháng 4 năm 2021 của Bộ trưởng Bộ Tài nguyên và Môi trường quy định kỹ thuật việc lập, điều chỉnh quy hoạch, kế hoạch sử dụng đất;</w:t>
      </w:r>
    </w:p>
    <w:p>
      <w:r>
        <w:rPr>
          <w:b w:val="0"/>
          <w:i/>
        </w:rPr>
        <w:t>Xét Tờ trình số 148/TTr-UBND ngày 13 tháng 9 năm 2022 của Ủy ban nhân dân tỉnh Đồng Nai về dự thảo nghị quyết sửa đổi, bổ sung danh mục các dự án thu hồi đất năm 2022 tỉnh Đồng Nai; Báo cáo thẩm tra số 582/BC-BKTNS ngày 15 tháng 9 năm 2022 của Ban Kinh tế - Ngân sách Hội đồng nhân dân tỉnh; ý kiến thảo luận của các đại biểu Hội đồng nhân dân tỉnh tại kỳ họp.</w:t>
      </w:r>
    </w:p>
    <w:p>
      <w:pPr>
        <w:jc w:val="center"/>
      </w:pPr>
      <w:r>
        <w:rPr>
          <w:b/>
          <w:i w:val="0"/>
        </w:rPr>
        <w:t>QUYẾT NGHỊ:</w:t>
      </w:r>
    </w:p>
    <w:p>
      <w:r>
        <w:rPr>
          <w:b/>
          <w:i w:val="0"/>
        </w:rPr>
        <w:t>Điều 1.</w:t>
      </w:r>
      <w:r>
        <w:rPr>
          <w:b w:val="0"/>
          <w:i w:val="0"/>
        </w:rPr>
        <w:t xml:space="preserve"> Sửa đổi Điều 2 của Nghị quyết số 01/2022/NQ-HĐND ngày 15 tháng 4 năm 2022 của Hội đồng nhân dân tỉnh về bổ sung danh mục các dự án thu hồi đất năm 2022 tỉnh Đồng Nai, như sau:</w:t>
      </w:r>
    </w:p>
    <w:p>
      <w:r>
        <w:rPr>
          <w:b w:val="0"/>
          <w:i w:val="0"/>
        </w:rPr>
        <w:t>1. Sửa đổi Điều 2:</w:t>
      </w:r>
    </w:p>
    <w:p>
      <w:r>
        <w:rPr>
          <w:b w:val="0"/>
          <w:i w:val="0"/>
        </w:rPr>
        <w:t>“Điều 2. Thống nhất bổ sung danh mục 05 dự án đầu tư có sử dụng đất phải lựa chọn nhà đầu tư với tổng diện tích 421,16 ha theo quy định tại khoản 4 Điều 108 Nghị định số 31/2021/NĐ-CP ngày 26 tháng 3 năm 2021 của Chính phủ về quy định chi tiết và hướng dẫn thi hành một số điều của Luật Đầu tư”.</w:t>
      </w:r>
    </w:p>
    <w:p>
      <w:r>
        <w:rPr>
          <w:b w:val="0"/>
          <w:i w:val="0"/>
        </w:rPr>
        <w:t>2. Điều chỉnh diện tích của công trình Khu đô thị Hiệp Hòa tại phường Hiệp Hòa, thành phố Biên Hòa tại số thứ tự 02 của phụ lục II (các số thứ tự 1, 3, 4, 5 vẫn giữ nguyên); phụ lục II sửa đổi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công trình</w:t>
            </w:r>
          </w:p>
        </w:tc>
        <w:tc>
          <w:tcPr>
            <w:tcW w:type="dxa" w:w="1440"/>
          </w:tcPr>
          <w:p>
            <w:r>
              <w:rPr>
                <w:b w:val="0"/>
                <w:i w:val="0"/>
              </w:rPr>
              <w:br/>
            </w:r>
            <w:r>
              <w:rPr>
                <w:b/>
                <w:i w:val="0"/>
              </w:rPr>
              <w:t>Mã loại đất</w:t>
            </w:r>
          </w:p>
        </w:tc>
        <w:tc>
          <w:tcPr>
            <w:tcW w:type="dxa" w:w="1440"/>
          </w:tcPr>
          <w:p>
            <w:r>
              <w:rPr>
                <w:b w:val="0"/>
                <w:i w:val="0"/>
              </w:rPr>
              <w:br/>
            </w:r>
            <w:r>
              <w:rPr>
                <w:b/>
                <w:i w:val="0"/>
              </w:rPr>
              <w:t>Xã, phường, thị trấn</w:t>
            </w:r>
          </w:p>
        </w:tc>
        <w:tc>
          <w:tcPr>
            <w:tcW w:type="dxa" w:w="1440"/>
          </w:tcPr>
          <w:p>
            <w:r>
              <w:rPr>
                <w:b w:val="0"/>
                <w:i w:val="0"/>
              </w:rPr>
              <w:br/>
            </w:r>
            <w:r>
              <w:rPr>
                <w:b/>
                <w:i w:val="0"/>
              </w:rPr>
              <w:t>Huyện, thành phố</w:t>
            </w:r>
          </w:p>
        </w:tc>
        <w:tc>
          <w:tcPr>
            <w:tcW w:type="dxa" w:w="1440"/>
          </w:tcPr>
          <w:p>
            <w:r>
              <w:rPr>
                <w:b w:val="0"/>
                <w:i w:val="0"/>
              </w:rPr>
              <w:br/>
            </w:r>
            <w:r>
              <w:rPr>
                <w:b/>
                <w:i w:val="0"/>
              </w:rPr>
              <w:t>Diện tích thu hồi đất (ha)</w:t>
            </w:r>
          </w:p>
        </w:tc>
      </w:tr>
    </w:tbl>
    <w:p>
      <w:r>
        <w:rPr>
          <w:b/>
          <w:i w:val="0"/>
        </w:rPr>
        <w:t>Điều 2. Tổ chức thực hiện</w:t>
      </w:r>
    </w:p>
    <w:p>
      <w:r>
        <w:rPr>
          <w:b w:val="0"/>
          <w:i w:val="0"/>
        </w:rPr>
        <w:t>1. Ủy ban nhân dân tỉnh có trách nhiệm tổ chức triển khai thực hiện Nghị quyết này, định kỳ hàng năm đánh giá kết quả thực hiện và báo cáo Hội đồng nhân dân tỉnh theo quy định. Thực hiện tốt công tác tuyên truyền, công bố, công khai minh bạch các dự án đầu tư có sử dụng đất để người dân biết, tạo sự đồng thuận của người dân trong quá trình triển khai thực hiện; lựa chọn nhà đầu tư có năng lực và kinh nghiệm để triển khai thực hiện dự án.</w:t>
      </w:r>
    </w:p>
    <w:p>
      <w:r>
        <w:rPr>
          <w:b w:val="0"/>
          <w:i w:val="0"/>
        </w:rPr>
        <w:t>2. Thường trực Hội đồng nhân dân, các Ban Hội đồng nhân dân, các Tổ đại biểu Hội đồng nhân dân và đại biểu Hội đồng nhân dân tỉnh có trách nhiệm giám sát việc triển khai thực hiện Nghị quyết theo quy định.</w:t>
      </w:r>
    </w:p>
    <w:p>
      <w:r>
        <w:rPr>
          <w:b w:val="0"/>
          <w:i w:val="0"/>
        </w:rPr>
        <w:t>3. Đề nghị Ủy ban Mặt trận Tổ quốc Việt Nam tỉnh, các tổ chức thành viên vận động Nhân dân cùng tham gia giám sát việc thực hiện Nghị quyết này; phản ánh kịp thời tâm tư, nguyện vọng và kiến nghị của Nhân dân đến các cơ quan có thẩm quyền theo quy định.</w:t>
      </w:r>
    </w:p>
    <w:p>
      <w:r>
        <w:rPr>
          <w:b w:val="0"/>
          <w:i w:val="0"/>
        </w:rPr>
        <w:t>4. Nghị quyết này đã được được Hội đồng nhân dân tỉnh Đồng Nai Khóa X Kỳ họp thứ 9 thông qua ngày 22 tháng 9 năm 2022 và có hiệu lực từ ngày 02 tháng 10 năm 2022./.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Ủy ban thường vụ Quốc hội;</w:t>
            </w:r>
            <w:r>
              <w:br/>
            </w:r>
            <w:r>
              <w:rPr>
                <w:b w:val="0"/>
                <w:i w:val="0"/>
              </w:rPr>
              <w:br/>
              <w:t xml:space="preserve">        - Chính Phủ;</w:t>
            </w:r>
            <w:r>
              <w:br/>
            </w:r>
            <w:r>
              <w:rPr>
                <w:b w:val="0"/>
                <w:i w:val="0"/>
              </w:rPr>
              <w:br/>
              <w:t xml:space="preserve">        - Văn phòng Quốc hội (A+B);</w:t>
            </w:r>
            <w:r>
              <w:br/>
            </w:r>
            <w:r>
              <w:rPr>
                <w:b w:val="0"/>
                <w:i w:val="0"/>
              </w:rPr>
              <w:br/>
              <w:t xml:space="preserve">        - Văn phòng Chính phủ (A + B);</w:t>
            </w:r>
            <w:r>
              <w:br/>
            </w:r>
            <w:r>
              <w:rPr>
                <w:b w:val="0"/>
                <w:i w:val="0"/>
              </w:rPr>
              <w:br/>
              <w:t xml:space="preserve">        - Vụ Pháp chế Bộ Tài nguyên và Môi trường;</w:t>
            </w:r>
            <w:r>
              <w:br/>
            </w:r>
            <w:r>
              <w:rPr>
                <w:b w:val="0"/>
                <w:i w:val="0"/>
              </w:rPr>
              <w:br/>
              <w:t xml:space="preserve">        - Vụ Pháp chế Bộ Kế hoạch và Đầu tư;</w:t>
            </w:r>
            <w:r>
              <w:br/>
            </w:r>
            <w:r>
              <w:rPr>
                <w:b w:val="0"/>
                <w:i w:val="0"/>
              </w:rPr>
              <w:br/>
              <w:t xml:space="preserve">        - Cục Kiểm tra VB.QPPL - Bộ Tư pháp;</w:t>
            </w:r>
            <w:r>
              <w:br/>
            </w:r>
            <w:r>
              <w:rPr>
                <w:b w:val="0"/>
                <w:i w:val="0"/>
              </w:rPr>
              <w:br/>
              <w:t xml:space="preserve">        - Bí thư Tỉnh ủy;</w:t>
            </w:r>
            <w:r>
              <w:br/>
            </w:r>
            <w:r>
              <w:rPr>
                <w:b w:val="0"/>
                <w:i w:val="0"/>
              </w:rPr>
              <w:br/>
              <w:t xml:space="preserve">        - Thường trực Tỉnh ủy;</w:t>
            </w:r>
            <w:r>
              <w:br/>
            </w:r>
            <w:r>
              <w:rPr>
                <w:b w:val="0"/>
                <w:i w:val="0"/>
              </w:rPr>
              <w:br/>
              <w:t xml:space="preserve">        - Đoàn Đại biểu Quốc hội tỉnh;</w:t>
            </w:r>
            <w:r>
              <w:br/>
            </w:r>
            <w:r>
              <w:rPr>
                <w:b w:val="0"/>
                <w:i w:val="0"/>
              </w:rPr>
              <w:br/>
              <w:t xml:space="preserve">        - Thường trực HĐND tỉnh;</w:t>
            </w:r>
            <w:r>
              <w:br/>
            </w:r>
            <w:r>
              <w:rPr>
                <w:b w:val="0"/>
                <w:i w:val="0"/>
              </w:rPr>
              <w:br/>
              <w:t xml:space="preserve">        - Đại biểu HĐND tỉnh;</w:t>
            </w:r>
            <w:r>
              <w:br/>
            </w:r>
            <w:r>
              <w:rPr>
                <w:b w:val="0"/>
                <w:i w:val="0"/>
              </w:rPr>
              <w:br/>
              <w:t xml:space="preserve">        - UBND tỉnh;</w:t>
            </w:r>
            <w:r>
              <w:br/>
            </w:r>
            <w:r>
              <w:rPr>
                <w:b w:val="0"/>
                <w:i w:val="0"/>
              </w:rPr>
              <w:br/>
              <w:t xml:space="preserve">        - Ủy ban MTTQVN và các đoàn thể;</w:t>
            </w:r>
            <w:r>
              <w:br/>
            </w:r>
            <w:r>
              <w:rPr>
                <w:b w:val="0"/>
                <w:i w:val="0"/>
              </w:rPr>
              <w:br/>
              <w:t xml:space="preserve">        - Các Sở, ban, ngành của tỉnh;</w:t>
            </w:r>
            <w:r>
              <w:br/>
            </w:r>
            <w:r>
              <w:rPr>
                <w:b w:val="0"/>
                <w:i w:val="0"/>
              </w:rPr>
              <w:br/>
              <w:t xml:space="preserve">        - VKSND, TAND, CTHADS tỉnh;</w:t>
            </w:r>
            <w:r>
              <w:br/>
            </w:r>
            <w:r>
              <w:rPr>
                <w:b w:val="0"/>
                <w:i w:val="0"/>
              </w:rPr>
              <w:br/>
              <w:t xml:space="preserve">        - Văn phòng: Tỉnh ủy; Đoàn ĐBQH&amp;HĐND tỉnh;</w:t>
            </w:r>
            <w:r>
              <w:br/>
            </w:r>
            <w:r>
              <w:rPr>
                <w:b w:val="0"/>
                <w:i w:val="0"/>
              </w:rPr>
              <w:br/>
              <w:t xml:space="preserve">        - Văn phòng UBND tỉnh;</w:t>
            </w:r>
            <w:r>
              <w:br/>
            </w:r>
            <w:r>
              <w:rPr>
                <w:b w:val="0"/>
                <w:i w:val="0"/>
              </w:rPr>
              <w:br/>
              <w:t xml:space="preserve">        - Thường trực HĐND, UBND cấp huyện;</w:t>
            </w:r>
            <w:r>
              <w:br/>
            </w:r>
            <w:r>
              <w:rPr>
                <w:b w:val="0"/>
                <w:i w:val="0"/>
              </w:rPr>
              <w:br/>
              <w:t xml:space="preserve">        - Cổng thông tin điện tử tỉnh;</w:t>
            </w:r>
            <w:r>
              <w:br/>
            </w:r>
            <w:r>
              <w:rPr>
                <w:b w:val="0"/>
                <w:i w:val="0"/>
              </w:rPr>
              <w:br/>
              <w:t xml:space="preserve">        - Báo Đồng Nai, Đài PT-TH Đồng Nai;</w:t>
            </w:r>
            <w:r>
              <w:br/>
            </w:r>
            <w:r>
              <w:rPr>
                <w:b w:val="0"/>
                <w:i w:val="0"/>
              </w:rPr>
              <w:br/>
              <w:t xml:space="preserve">        - Lưu: VT, Phòng CTHĐND.</w:t>
            </w:r>
          </w:p>
        </w:tc>
        <w:tc>
          <w:tcPr>
            <w:tcW w:type="dxa" w:w="4320"/>
          </w:tcPr>
          <w:p>
            <w:r>
              <w:rPr>
                <w:b w:val="0"/>
                <w:i w:val="0"/>
              </w:rPr>
              <w:br/>
            </w:r>
            <w:r>
              <w:rPr>
                <w:b/>
                <w:i w:val="0"/>
              </w:rPr>
              <w:t>CHỦ TỊCH</w:t>
            </w:r>
            <w:r>
              <w:br/>
            </w:r>
            <w:r>
              <w:br/>
            </w:r>
            <w:r>
              <w:rPr>
                <w:b/>
                <w:i w:val="0"/>
              </w:rPr>
              <w:br/>
              <w:t xml:space="preserve">         (Đã ký)</w:t>
            </w:r>
            <w:r>
              <w:br/>
            </w:r>
            <w:r>
              <w:br/>
            </w:r>
            <w:r>
              <w:rPr>
                <w:b/>
                <w:i w:val="0"/>
              </w:rPr>
              <w:br/>
              <w:t xml:space="preserve">         Thái Bảo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