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21/2023/NQ-HĐND Về bãi bỏ Nghị quyết số207/2015/NQ-HĐND ngày 16 tháng 7 năm 2015 của Hội đồng nhân dân tỉnh về chính sách khuyến khích xã hội hóa các lĩnh vực giáo dục, dạy nghề, y tế, văn hóa, thể dục thể thao, môi trường và giám định tư pháp trên địa bàn tỉnh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ĐÔNG NHÂN DÂN </w:t>
            </w:r>
            <w:r>
              <w:rPr>
                <w:b w:val="0"/>
                <w:i w:val="0"/>
              </w:rPr>
              <w:br/>
            </w:r>
            <w:r>
              <w:rPr>
                <w:b/>
                <w:i w:val="0"/>
              </w:rPr>
              <w:t xml:space="preserve">TỈNH LON AN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r>
        <w:br/>
      </w:r>
      <w:r>
        <w:rPr>
          <w:b/>
          <w:i w:val="0"/>
        </w:rPr>
        <w:br/>
        <w:t xml:space="preserve">     Về bãi bỏ Nghị quyết số 207/2015/NQ-HĐND ngày 16 tháng 7 năm 2015 của </w:t>
      </w:r>
    </w:p>
    <w:p>
      <w:pPr>
        <w:jc w:val="center"/>
      </w:pPr>
      <w:r>
        <w:rPr>
          <w:b/>
          <w:i w:val="0"/>
        </w:rPr>
        <w:t xml:space="preserve">Hội đồng nhân dân tỉnh về chính sách khuyến khích xã hội hóa các lĩnh vực </w:t>
      </w:r>
    </w:p>
    <w:p>
      <w:pPr>
        <w:jc w:val="center"/>
      </w:pPr>
      <w:r>
        <w:rPr>
          <w:b/>
          <w:i w:val="0"/>
        </w:rPr>
        <w:t xml:space="preserve">giáo dục, dạy nghề, y tế, văn hóa, thể dục thể thao, môi trường </w:t>
      </w:r>
    </w:p>
    <w:p>
      <w:pPr>
        <w:jc w:val="center"/>
      </w:pPr>
      <w:r>
        <w:rPr>
          <w:b/>
          <w:i w:val="0"/>
        </w:rPr>
        <w:t>và giám định tư pháp trên địa bàn tỉnh Long An</w:t>
      </w:r>
    </w:p>
    <w:p>
      <w:pPr>
        <w:jc w:val="center"/>
      </w:pPr>
      <w:r>
        <w:rPr>
          <w:b/>
          <w:i w:val="0"/>
        </w:rPr>
        <w:t>HỘI ĐỒNG NHÂN DÂN TỈNH LONG AN</w:t>
      </w:r>
      <w:r>
        <w:br/>
      </w:r>
      <w:r>
        <w:rPr>
          <w:b/>
          <w:i w:val="0"/>
        </w:rPr>
        <w:br/>
        <w:t xml:space="preserve">     KHÓA X - KỲ HỌP THỨ 13</w:t>
      </w:r>
    </w:p>
    <w:p>
      <w:r>
        <w:rPr>
          <w:b w:val="0"/>
          <w:i/>
        </w:rPr>
        <w:t>Căn cứ Luật Tổ chức chính quyền địa phương số 77/2015/QH13 ngày 19 tháng 6 năm 2015;</w:t>
      </w:r>
    </w:p>
    <w:p>
      <w:r>
        <w:rPr>
          <w:b w:val="0"/>
          <w:i/>
        </w:rPr>
        <w:t>Căn cứ Luật Sửa đổi, bổ sung một số điều của Luật Tổ chức Chính phủ và Luật tổ chức chính quyền địa phương số 47/2019/QH14 ngày 22 tháng 11 năm 2019;</w:t>
      </w:r>
    </w:p>
    <w:p>
      <w:r>
        <w:rPr>
          <w:b w:val="0"/>
          <w:i/>
        </w:rPr>
        <w:t>Căn cứ Luật Đất đai ngày 29 tháng 11 năm 2013;</w:t>
      </w:r>
    </w:p>
    <w:p>
      <w:r>
        <w:rPr>
          <w:b w:val="0"/>
          <w:i/>
        </w:rPr>
        <w:t>Căn cứ Luật Đầu tư ngày 17 tháng 6 năm 2020;</w:t>
      </w:r>
    </w:p>
    <w:p>
      <w:r>
        <w:rPr>
          <w:b w:val="0"/>
          <w:i/>
        </w:rPr>
        <w:t>Căn cứ Nghị định số 69/2008/NĐ-CP ngày 30 tháng 5 năm 2008 của Chính phủ về chính sách khuyến khích xã hội hóa đối với các hoạt động trong lĩnh vực giáo dục, dạy nghề, y tế, văn hóa, thể thao, môi trường; Nghị định số 59/2014/NĐ-CP ngày 16 tháng 6 năm 2014 của Chính phủ sửa đổi, bổ sung một số điều của Nghị định số 69/2008/NĐ-CP;</w:t>
      </w:r>
    </w:p>
    <w:p>
      <w:r>
        <w:rPr>
          <w:b w:val="0"/>
          <w:i/>
        </w:rPr>
        <w:t>Căn cứ Nghị định 46/2014/NĐ-CP ngày 15 tháng 5 năm 2014 của Chính phủ quy định về thu tiền thuê đất, thuê mặt nước; Nghị định số 135/2016/NĐ-CP ngày 09 tháng 9 năm 2016, Nghị định 123/2017/NĐ-CP ngày 14 tháng 11 năm 21017 của Chính phủ sửa đổi, bổ sung một số điều của các Nghị định quy định về thu tiền sử dụng đất, thu tiền thuê đất, thuê mặt nước;</w:t>
      </w:r>
    </w:p>
    <w:p>
      <w:r>
        <w:rPr>
          <w:b w:val="0"/>
          <w:i/>
        </w:rPr>
        <w:t>Căn cứ Nghị định số 31/2021/NĐ-CP ngày 26 tháng 3 năm 2021 của Chính phủ quy định chi tiết và hướng dẫn thi hành một số điều của Luật Đầu tư:</w:t>
      </w:r>
    </w:p>
    <w:p>
      <w:r>
        <w:rPr>
          <w:b w:val="0"/>
          <w:i/>
        </w:rPr>
        <w:t>Căn cứ Thông tư số 135/2008/TT-BTC ngày 31 tháng 12 năm 2008 của Bộ trưởng Bộ Tài chính hướng dẫn thực hiện Nghị định số 69/2008/NĐ-CP ngày 30 tháng 5 năm 2008 của Chính phủ về chính sách khuyến khích xã hội hóa đối với các hoạt động trong lĩnh vực giáo dục, dạy nghề, y tế, văn hóa, thể thao, môi trường; Thông tư số 156/2014/TT-BTC ngày 23 tháng 10 năm 2014 của Bộ trưởng Bộ Tài chính sửa đổi, bổ sung một số điều của Thông tư số 135/2008/TT-BTC.</w:t>
      </w:r>
    </w:p>
    <w:p>
      <w:r>
        <w:rPr>
          <w:b w:val="0"/>
          <w:i/>
        </w:rPr>
        <w:t>Xét Tờ trình số 3343/TTr-UBND ngày 20 tháng 11 năm 2023 của Ủy ban nhân dân tỉnh về việc đề nghị ban hành Nghị quyết bãi bỏ Nghị quyết số 207/2015/NQ-HĐND ngày 16 tháng 7 năm 2015 của Hội đồng nhân dân tỉnh về chính sách khuyến khích xã hội hóa các lĩnh vực giáo dục, dạy nghề, y tế, văn hóa, thể dục thể thao, môi trường và giám định tư pháp trên địa bàn tỉnh Long An; Báo cáo thẩm tra số 1272/BC-HĐND ngày 25 tháng 11 năm 2023 của Ban Văn hóa - xã hội Hội đồng nhân dân tỉnh và ý kiến thảo luận của Đại biểu Hội đồng nhân dân tỉnh tại kỳ họp.</w:t>
      </w:r>
    </w:p>
    <w:p>
      <w:pPr>
        <w:jc w:val="center"/>
      </w:pPr>
      <w:r>
        <w:rPr>
          <w:b/>
          <w:i w:val="0"/>
        </w:rPr>
        <w:t>QUYẾT NGHỊ:</w:t>
      </w:r>
    </w:p>
    <w:p>
      <w:r>
        <w:rPr>
          <w:b/>
          <w:i w:val="0"/>
        </w:rPr>
        <w:t>Điều 1.</w:t>
      </w:r>
      <w:r>
        <w:rPr>
          <w:b w:val="0"/>
          <w:i w:val="0"/>
        </w:rPr>
        <w:t xml:space="preserve"> Thống nhất bãi bỏ Nghị quyết số 207/2015/NQ-HĐND ngày 16 tháng 7 năm 2015 của Hội đồng nhân dân tỉnh về chính sách khuyến khích xã hội hóa các lĩnh vực giáo dục, dạy nghề, y tế, văn hóa, thể dục thể thao, môi trường và giám định tư pháp trên địa bàn tỉnh Long An.</w:t>
      </w:r>
    </w:p>
    <w:p>
      <w:r>
        <w:rPr>
          <w:b/>
          <w:i w:val="0"/>
        </w:rPr>
        <w:t xml:space="preserve">Điều 2. </w:t>
      </w:r>
      <w:r>
        <w:rPr>
          <w:b w:val="0"/>
          <w:i w:val="0"/>
        </w:rPr>
        <w:t>Giao Ủy ban nhân dân tỉnh tổ chức triển khai thực hiện Nghị quyết.</w:t>
      </w:r>
    </w:p>
    <w:p>
      <w:r>
        <w:rPr>
          <w:b/>
          <w:i w:val="0"/>
        </w:rPr>
        <w:t xml:space="preserve">Điều 3. </w:t>
      </w:r>
      <w:r>
        <w:rPr>
          <w:b w:val="0"/>
          <w:i w:val="0"/>
        </w:rPr>
        <w:t>Giao Thường trực Hội đồng nhân tỉnh, các Ban của Hội đồng nhân dân, Tổ đại biểu và Đại biểu Hội đồng nhân dân tỉnh giám sát việc thực hiện Nghị quyết.</w:t>
      </w:r>
    </w:p>
    <w:p>
      <w:r>
        <w:rPr>
          <w:b w:val="0"/>
          <w:i w:val="0"/>
        </w:rPr>
        <w:t>Nghị quyết này đã được Hội đồng nhân dân tỉnh khóa X, kỳ họp thứ 13 (kỳ họp lệ cuối năm 2023) thông qua ngày 01 tháng 12 năm 2023 và có hiệu lực thi hành từ ngày 11 tháng 12 năm 2023.</w:t>
      </w:r>
    </w:p>
    <w:p>
      <w:r>
        <w:rPr>
          <w:b w:val="0"/>
          <w:i w:val="0"/>
        </w:rPr>
        <w:t xml:space="preserve">Đối với các dự án xã hội hóa đã được cơ quan nhà nước có thẩm quyền quyết định chủ trương đầu tư, chấp thuận nhà đầu tư, cấp Giấy chứng nhận đăng ký đầu tư, Giấy chứng nhận đầu tư trước ngày Nghị quyết này có hiệu lực thi hành </w:t>
      </w:r>
      <w:r>
        <w:rPr>
          <w:b w:val="0"/>
          <w:i/>
        </w:rPr>
        <w:t>(12 dự án đang hưởng chính sách xã hội hóa, 02 dự án đang xem xét điều kiện hưởng chính sách xã hội hóa, có danh sách kèm theo)</w:t>
      </w:r>
      <w:r>
        <w:rPr>
          <w:b w:val="0"/>
          <w:i w:val="0"/>
        </w:rPr>
        <w:t xml:space="preserve"> thì tiếp tục thực hiện các chính sách theo quy định của Nghị quyết số 207/2015/NQ-HĐND ngày 16 tháng 7 năm 2015 của HĐND tỉnh về chính sách khuyến khích xã hội hóa các lĩnh vực giáo dục, dạy nghề, y tế, văn hóa, thể dục thể thao, môi trường và giám định tư pháp trên địa bàn tỉnh Long An và pháp luật khác có liên quan theo quy định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Văn Được</w:t>
            </w:r>
          </w:p>
        </w:tc>
      </w:tr>
    </w:tbl>
    <w:p>
      <w:pPr>
        <w:jc w:val="center"/>
      </w:pPr>
      <w:r>
        <w:rPr>
          <w:b/>
          <w:i w:val="0"/>
        </w:rPr>
        <w:t xml:space="preserve">DANH MỤC </w:t>
      </w:r>
    </w:p>
    <w:p>
      <w:pPr>
        <w:jc w:val="center"/>
      </w:pPr>
      <w:r>
        <w:rPr>
          <w:b/>
          <w:i w:val="0"/>
        </w:rPr>
        <w:t>DỰ ÁN ĐÃ THỰC HIỆN CHÍNH SÁCH XHH HOẶC ĐANG XEM XÉT THựC HIỆN CHÍNH SÁCH XÃ HỘI HÓA TỪ NĂM 2011 - NAY</w:t>
      </w:r>
      <w:r>
        <w:br/>
      </w:r>
      <w:r>
        <w:rPr>
          <w:b/>
          <w:i w:val="0"/>
        </w:rPr>
        <w:t>(Ban hành kèm theo Nghị quyết số 21/2023/NQ-HĐND ngày 01 tháng 12 năm 2023 của Hội đồng nhân dân tỉnh)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STT</w:t>
            </w:r>
          </w:p>
        </w:tc>
        <w:tc>
          <w:tcPr>
            <w:tcW w:type="dxa" w:w="864"/>
          </w:tcPr>
          <w:p>
            <w:r>
              <w:rPr>
                <w:b/>
                <w:i w:val="0"/>
              </w:rPr>
              <w:t>Sổ, ngày ban hành Nghị quyết của HĐND</w:t>
            </w:r>
          </w:p>
        </w:tc>
        <w:tc>
          <w:tcPr>
            <w:tcW w:type="dxa" w:w="864"/>
          </w:tcPr>
          <w:p>
            <w:r>
              <w:rPr>
                <w:b/>
                <w:i w:val="0"/>
              </w:rPr>
              <w:t>Số, ngày ban hành Nghị quyết điều chính</w:t>
            </w:r>
          </w:p>
        </w:tc>
        <w:tc>
          <w:tcPr>
            <w:tcW w:type="dxa" w:w="864"/>
          </w:tcPr>
          <w:p>
            <w:r>
              <w:rPr>
                <w:b/>
                <w:i w:val="0"/>
              </w:rPr>
              <w:t>Tên công trình/dự án</w:t>
            </w:r>
          </w:p>
        </w:tc>
        <w:tc>
          <w:tcPr>
            <w:tcW w:type="dxa" w:w="864"/>
          </w:tcPr>
          <w:p>
            <w:r>
              <w:rPr>
                <w:b/>
                <w:i w:val="0"/>
              </w:rPr>
              <w:t>Diện tích (khoảng - m2)</w:t>
            </w:r>
          </w:p>
        </w:tc>
        <w:tc>
          <w:tcPr>
            <w:tcW w:type="dxa" w:w="864"/>
          </w:tcPr>
          <w:p>
            <w:r>
              <w:rPr>
                <w:b/>
                <w:i w:val="0"/>
              </w:rPr>
              <w:t>Địa điểm</w:t>
            </w:r>
          </w:p>
        </w:tc>
        <w:tc>
          <w:tcPr>
            <w:tcW w:type="dxa" w:w="864"/>
          </w:tcPr>
          <w:p>
            <w:r>
              <w:rPr>
                <w:b/>
                <w:i w:val="0"/>
              </w:rPr>
              <w:t>Nhà đầu tư</w:t>
            </w:r>
          </w:p>
        </w:tc>
        <w:tc>
          <w:tcPr>
            <w:tcW w:type="dxa" w:w="864"/>
          </w:tcPr>
          <w:p>
            <w:r>
              <w:rPr>
                <w:b/>
                <w:i w:val="0"/>
              </w:rPr>
              <w:t>Tiến độ triển khai</w:t>
            </w:r>
          </w:p>
        </w:tc>
        <w:tc>
          <w:tcPr>
            <w:tcW w:type="dxa" w:w="864"/>
          </w:tcPr>
          <w:p>
            <w:r>
              <w:rPr>
                <w:b/>
                <w:i w:val="0"/>
              </w:rPr>
              <w:t>Chính sách xã hội hóa (miễn tiền thuê đất; thực hiện thuế thu nhập doanh nghiệp theo quy định)</w:t>
            </w:r>
          </w:p>
        </w:tc>
        <w:tc>
          <w:tcPr>
            <w:tcW w:type="dxa" w:w="864"/>
          </w:tcPr>
          <w:p>
            <w:r>
              <w:rPr>
                <w:b/>
                <w:i w:val="0"/>
              </w:rPr>
              <w:t>Pháp lý chấp thuận đầu tư</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STT</w:t>
            </w:r>
          </w:p>
        </w:tc>
        <w:tc>
          <w:tcPr>
            <w:tcW w:type="dxa" w:w="864"/>
          </w:tcPr>
          <w:p>
            <w:r>
              <w:rPr>
                <w:b/>
                <w:i w:val="0"/>
              </w:rPr>
              <w:t>Số, ngày ban hành Nghị quyết của HDND</w:t>
            </w:r>
          </w:p>
        </w:tc>
        <w:tc>
          <w:tcPr>
            <w:tcW w:type="dxa" w:w="864"/>
          </w:tcPr>
          <w:p>
            <w:r>
              <w:rPr>
                <w:b/>
                <w:i w:val="0"/>
              </w:rPr>
              <w:t>Số, ngày ban hành Nghị quyết điều chỉnh</w:t>
            </w:r>
          </w:p>
        </w:tc>
        <w:tc>
          <w:tcPr>
            <w:tcW w:type="dxa" w:w="864"/>
          </w:tcPr>
          <w:p>
            <w:r>
              <w:rPr>
                <w:b/>
                <w:i w:val="0"/>
              </w:rPr>
              <w:t>Tên công trình/dự án</w:t>
            </w:r>
          </w:p>
        </w:tc>
        <w:tc>
          <w:tcPr>
            <w:tcW w:type="dxa" w:w="864"/>
          </w:tcPr>
          <w:p>
            <w:r>
              <w:rPr>
                <w:b/>
                <w:i w:val="0"/>
              </w:rPr>
              <w:t>Diện tích (khoảng -m2)</w:t>
            </w:r>
          </w:p>
        </w:tc>
        <w:tc>
          <w:tcPr>
            <w:tcW w:type="dxa" w:w="864"/>
          </w:tcPr>
          <w:p>
            <w:r>
              <w:rPr>
                <w:b/>
                <w:i w:val="0"/>
              </w:rPr>
              <w:t>Địa điểm</w:t>
            </w:r>
          </w:p>
        </w:tc>
        <w:tc>
          <w:tcPr>
            <w:tcW w:type="dxa" w:w="864"/>
          </w:tcPr>
          <w:p>
            <w:r>
              <w:rPr>
                <w:b/>
                <w:i w:val="0"/>
              </w:rPr>
              <w:t>Nhà đầu tu*</w:t>
            </w:r>
          </w:p>
        </w:tc>
        <w:tc>
          <w:tcPr>
            <w:tcW w:type="dxa" w:w="864"/>
          </w:tcPr>
          <w:p>
            <w:r>
              <w:rPr>
                <w:b/>
                <w:i w:val="0"/>
              </w:rPr>
              <w:t>Tiến độ triển khai</w:t>
            </w:r>
          </w:p>
        </w:tc>
        <w:tc>
          <w:tcPr>
            <w:tcW w:type="dxa" w:w="864"/>
          </w:tcPr>
          <w:p>
            <w:r>
              <w:rPr>
                <w:b/>
                <w:i w:val="0"/>
              </w:rPr>
              <w:t>Chính sách xã hội hóa (miễn tiền thuê đất; thực hiện thuế thu nhập doanh nghiệp theo quy định)</w:t>
            </w:r>
          </w:p>
        </w:tc>
        <w:tc>
          <w:tcPr>
            <w:tcW w:type="dxa" w:w="864"/>
          </w:tcPr>
          <w:p>
            <w:r>
              <w:rPr>
                <w:b/>
                <w:i w:val="0"/>
              </w:rPr>
              <w:t>Pháp lý chấp thuận đầu tư</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Văn Được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