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222/QĐ-UBND năm 2010 điều chỉnh Quyết định  4833/QĐ-UB về duyệt điều chỉnh cục bộ quy họach chi tiết xây dựng (tỷ lệ 1/500) khu tái định cư (30,224 ha) phường Bình Khánh, quận 2 do Chủ tịch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rPr>
                <w:b w:val="0"/>
                <w:i w:val="0"/>
              </w:rPr>
              <w:br/>
            </w:r>
            <w:r>
              <w:rPr>
                <w:b w:val="0"/>
                <w:i w:val="0"/>
              </w:rPr>
              <w:t>Số: 222/QĐ-UBND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rPr>
              <w:t>TP. Hồ Chí Minh, ngày 18 tháng 01 năm 2010</w:t>
            </w:r>
          </w:p>
        </w:tc>
      </w:tr>
    </w:tbl>
    <w:p>
      <w:pPr>
        <w:jc w:val="center"/>
      </w:pPr>
      <w:r>
        <w:rPr>
          <w:b/>
          <w:i w:val="0"/>
        </w:rPr>
        <w:t>QUYẾT ĐỊNH</w:t>
      </w:r>
      <w:r>
        <w:br/>
      </w:r>
      <w:r>
        <w:rPr>
          <w:b w:val="0"/>
          <w:i w:val="0"/>
        </w:rPr>
        <w:t xml:space="preserve">VỀ ĐIỀU CHỈNH QUYẾT ĐỊNH SỐ 4833/QĐ-UB NGÀY 10 THÁNG 11 NĂM 2008 CỦA </w:t>
      </w:r>
      <w:r>
        <w:br/>
      </w:r>
      <w:r>
        <w:rPr>
          <w:b w:val="0"/>
          <w:i w:val="0"/>
        </w:rPr>
        <w:br/>
        <w:t xml:space="preserve">     ỦY BAN NHÂN DÂN THÀNH PHỐ VỀ DUYỆT ĐIỀU CHỈNH CỤC BỘ QUY HOẠCH CHI </w:t>
      </w:r>
      <w:r>
        <w:br/>
      </w:r>
      <w:r>
        <w:rPr>
          <w:b w:val="0"/>
          <w:i w:val="0"/>
        </w:rPr>
        <w:br/>
        <w:t xml:space="preserve">     TIẾT XÂY DỰNG (TỶ LỆ 1/500) KHU TÁI ĐỊNH CƯ (30,224HA) PHƯỜNG BÌNH </w:t>
      </w:r>
      <w:r>
        <w:br/>
      </w:r>
      <w:r>
        <w:rPr>
          <w:b w:val="0"/>
          <w:i w:val="0"/>
        </w:rPr>
        <w:br/>
        <w:t xml:space="preserve">     KHÁNH, QUẬN 2</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Căn cứ Nghị định số 08/2005/NĐ-CP ngày 24 tháng 01 năm 2005 của Chính phủ về quy hoạch xây dựng;</w:t>
      </w:r>
    </w:p>
    <w:p>
      <w:r>
        <w:rPr>
          <w:b w:val="0"/>
          <w:i/>
        </w:rPr>
        <w:t>Căn cứ Quyết định số 4833/QĐ-UBND ngày 10 tháng 11 năm 2008 của Ủy ban nhân dân thành phố về duyệt quy hoạch chi tiết xây dựng đô thị (tỷ lệ 1/500) Khu tái định cư (30,224 ha) phường Bình Khánh, quận 2;</w:t>
      </w:r>
    </w:p>
    <w:p>
      <w:r>
        <w:rPr>
          <w:b w:val="0"/>
          <w:i/>
        </w:rPr>
        <w:t>Căn cứ ý kiến góp ý hồ sơ thiết kế cơ sở dự án Khu tái định cư (30,224 ha) phường Bình Khánh, quận 2 của Bộ Xây dựng tại văn bản số 1814/BXD-HĐXD ngày 28 tháng 8 năm 2009;</w:t>
      </w:r>
    </w:p>
    <w:p>
      <w:r>
        <w:rPr>
          <w:b w:val="0"/>
          <w:i/>
        </w:rPr>
        <w:t>Xét đề nghị của Tổ Công tác tái định cư 12.500 căn tại Tờ trình số 10683/TCT 12.500-TĐDA ngày 20 tháng 11 năm 2009 và của Giám đốc Sở Quy hoạch - Kiến trúc tại Tờ trình số 3811/TTr-SQHKT ngày 31 tháng 12 năm 2009,</w:t>
      </w:r>
    </w:p>
    <w:p>
      <w:pPr>
        <w:jc w:val="center"/>
      </w:pPr>
      <w:r>
        <w:rPr>
          <w:b/>
          <w:i w:val="0"/>
        </w:rPr>
        <w:t>QUYẾT ĐỊNH:</w:t>
      </w:r>
    </w:p>
    <w:p>
      <w:r>
        <w:rPr>
          <w:b/>
          <w:i w:val="0"/>
        </w:rPr>
        <w:t xml:space="preserve">Điều 1. </w:t>
      </w:r>
      <w:r>
        <w:rPr>
          <w:b w:val="0"/>
          <w:i w:val="0"/>
        </w:rPr>
        <w:t>Duyệt điều chỉnh cục bộ quy hoạch chi tiết xây dựng đô thị (tỷ lệ 1/500) Khu tái định cư (30,224 ha) phường Bình Khánh, quận 2 với nội dung cụ thể như sau:</w:t>
      </w:r>
    </w:p>
    <w:p>
      <w:r>
        <w:rPr>
          <w:b/>
          <w:i w:val="0"/>
        </w:rPr>
        <w:t>1. Điều chỉnh một số nội dung tại Điều 1 Quyết định số 4833/QĐ-UB ngày 10 tháng 11 năm 2008 của Ủy ban nhân dân thành phố như sau:</w:t>
      </w:r>
    </w:p>
    <w:p>
      <w:r>
        <w:rPr>
          <w:b w:val="0"/>
          <w:i w:val="0"/>
        </w:rPr>
        <w:t>1.1. Khoản 4 - Cơ cấu sử dụng đất:</w:t>
      </w:r>
    </w:p>
    <w:p>
      <w:r>
        <w:rPr>
          <w:b w:val="0"/>
          <w:i w:val="0"/>
        </w:rPr>
        <w:t>- Dân số dự kiến: khoảng 16.864 người (trung bình 4 người/1 căn hộ).</w:t>
      </w:r>
    </w:p>
    <w:p>
      <w:r>
        <w:rPr>
          <w:b w:val="0"/>
          <w:i w:val="0"/>
        </w:rPr>
        <w:t>- Tổng diện tích dự án: 302.240m2, phân bổ theo bảng cơ cấu sử dụng đất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Loại đất</w:t>
            </w:r>
          </w:p>
        </w:tc>
        <w:tc>
          <w:tcPr>
            <w:tcW w:type="dxa" w:w="2880"/>
          </w:tcPr>
          <w:p>
            <w:r>
              <w:rPr>
                <w:b w:val="0"/>
                <w:i w:val="0"/>
              </w:rPr>
              <w:br/>
            </w:r>
            <w:r>
              <w:rPr>
                <w:b/>
                <w:i w:val="0"/>
              </w:rPr>
              <w:t>Cơ cấu sử dụng đất</w:t>
            </w:r>
          </w:p>
        </w:tc>
      </w:tr>
    </w:tbl>
    <w:p>
      <w:r>
        <w:rPr>
          <w:b w:val="0"/>
          <w:i w:val="0"/>
        </w:rPr>
        <w:t>1.2. Khoản 5, điểm 5.1 - Chỉ tiêu quy hoạch - kiến trúc toàn dự 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chỉ tiêu</w:t>
            </w:r>
          </w:p>
        </w:tc>
        <w:tc>
          <w:tcPr>
            <w:tcW w:type="dxa" w:w="2160"/>
          </w:tcPr>
          <w:p>
            <w:r>
              <w:rPr>
                <w:b w:val="0"/>
                <w:i w:val="0"/>
              </w:rPr>
              <w:br/>
            </w:r>
            <w:r>
              <w:rPr>
                <w:b/>
                <w:i w:val="0"/>
              </w:rPr>
              <w:t>Đơn vị</w:t>
            </w:r>
          </w:p>
        </w:tc>
        <w:tc>
          <w:tcPr>
            <w:tcW w:type="dxa" w:w="2160"/>
          </w:tcPr>
          <w:p>
            <w:r>
              <w:rPr>
                <w:b w:val="0"/>
                <w:i w:val="0"/>
              </w:rPr>
              <w:br/>
            </w:r>
            <w:r>
              <w:rPr>
                <w:b/>
                <w:i w:val="0"/>
              </w:rPr>
              <w:t>Chỉ tiêu</w:t>
            </w:r>
          </w:p>
        </w:tc>
      </w:tr>
    </w:tbl>
    <w:p>
      <w:r>
        <w:rPr>
          <w:b w:val="0"/>
          <w:i w:val="0"/>
        </w:rPr>
        <w:t>1.3. Khoản 5, điểm 5.2, tiết 5.2.2.2 - Chỉ tiêu quy hoạch - kiến trúc khu chung cư (10 lô):</w:t>
      </w:r>
    </w:p>
    <w:p>
      <w:r>
        <w:rPr>
          <w:b w:val="0"/>
          <w:i w:val="0"/>
        </w:rPr>
        <w:t>Tổng số căn hộ chung cư: 4.216 căn, được phân bổ như sau:</w:t>
      </w:r>
    </w:p>
    <w:p>
      <w:r>
        <w:rPr>
          <w:b w:val="0"/>
          <w:i w:val="0"/>
        </w:rPr>
        <w:t xml:space="preserve">1.3.1. Lô DO1: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chỉ tiêu</w:t>
            </w:r>
          </w:p>
        </w:tc>
        <w:tc>
          <w:tcPr>
            <w:tcW w:type="dxa" w:w="2880"/>
          </w:tcPr>
          <w:p>
            <w:r>
              <w:rPr>
                <w:b w:val="0"/>
                <w:i w:val="0"/>
              </w:rPr>
              <w:br/>
            </w:r>
            <w:r>
              <w:rPr>
                <w:b/>
                <w:i w:val="0"/>
              </w:rPr>
              <w:t>Chỉ tiêu</w:t>
            </w:r>
          </w:p>
        </w:tc>
      </w:tr>
    </w:tbl>
    <w:p>
      <w:r>
        <w:rPr>
          <w:b w:val="0"/>
          <w:i w:val="0"/>
        </w:rPr>
        <w:t xml:space="preserve">1.3.2. Lô DO2: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chỉ tiêu</w:t>
            </w:r>
          </w:p>
        </w:tc>
        <w:tc>
          <w:tcPr>
            <w:tcW w:type="dxa" w:w="2880"/>
          </w:tcPr>
          <w:p>
            <w:r>
              <w:rPr>
                <w:b w:val="0"/>
                <w:i w:val="0"/>
              </w:rPr>
              <w:br/>
            </w:r>
            <w:r>
              <w:rPr>
                <w:b/>
                <w:i w:val="0"/>
              </w:rPr>
              <w:t>Chỉ tiêu</w:t>
            </w:r>
          </w:p>
        </w:tc>
      </w:tr>
    </w:tbl>
    <w:p>
      <w:r>
        <w:rPr>
          <w:b w:val="0"/>
          <w:i w:val="0"/>
        </w:rPr>
        <w:t xml:space="preserve">1.3.3. Lô DO3: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chỉ tiêu</w:t>
            </w:r>
          </w:p>
        </w:tc>
        <w:tc>
          <w:tcPr>
            <w:tcW w:type="dxa" w:w="2880"/>
          </w:tcPr>
          <w:p>
            <w:r>
              <w:rPr>
                <w:b w:val="0"/>
                <w:i w:val="0"/>
              </w:rPr>
              <w:br/>
            </w:r>
            <w:r>
              <w:rPr>
                <w:b/>
                <w:i w:val="0"/>
              </w:rPr>
              <w:t>Chỉ tiêu</w:t>
            </w:r>
          </w:p>
        </w:tc>
      </w:tr>
    </w:tbl>
    <w:p>
      <w:r>
        <w:rPr>
          <w:b w:val="0"/>
          <w:i w:val="0"/>
        </w:rPr>
        <w:t xml:space="preserve">1.3.4. Lô DO4: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chỉ tiêu</w:t>
            </w:r>
          </w:p>
        </w:tc>
        <w:tc>
          <w:tcPr>
            <w:tcW w:type="dxa" w:w="2880"/>
          </w:tcPr>
          <w:p>
            <w:r>
              <w:rPr>
                <w:b w:val="0"/>
                <w:i w:val="0"/>
              </w:rPr>
              <w:br/>
            </w:r>
            <w:r>
              <w:rPr>
                <w:b/>
                <w:i w:val="0"/>
              </w:rPr>
              <w:t>Chỉ tiêu</w:t>
            </w:r>
          </w:p>
        </w:tc>
      </w:tr>
    </w:tbl>
    <w:p>
      <w:r>
        <w:rPr>
          <w:b w:val="0"/>
          <w:i w:val="0"/>
        </w:rPr>
        <w:t xml:space="preserve">1.3.5. Lô DO5: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chỉ tiêu</w:t>
            </w:r>
          </w:p>
        </w:tc>
        <w:tc>
          <w:tcPr>
            <w:tcW w:type="dxa" w:w="2880"/>
          </w:tcPr>
          <w:p>
            <w:r>
              <w:rPr>
                <w:b w:val="0"/>
                <w:i w:val="0"/>
              </w:rPr>
              <w:br/>
            </w:r>
            <w:r>
              <w:rPr>
                <w:b/>
                <w:i w:val="0"/>
              </w:rPr>
              <w:t>Chỉ tiêu</w:t>
            </w:r>
          </w:p>
        </w:tc>
      </w:tr>
    </w:tbl>
    <w:p>
      <w:r>
        <w:rPr>
          <w:b w:val="0"/>
          <w:i w:val="0"/>
        </w:rPr>
        <w:t xml:space="preserve">1.3.6. Lô DO6: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chỉ tiêu</w:t>
            </w:r>
          </w:p>
        </w:tc>
        <w:tc>
          <w:tcPr>
            <w:tcW w:type="dxa" w:w="2880"/>
          </w:tcPr>
          <w:p>
            <w:r>
              <w:rPr>
                <w:b w:val="0"/>
                <w:i w:val="0"/>
              </w:rPr>
              <w:br/>
            </w:r>
            <w:r>
              <w:rPr>
                <w:b/>
                <w:i w:val="0"/>
              </w:rPr>
              <w:t>Chỉ tiêu</w:t>
            </w:r>
          </w:p>
        </w:tc>
      </w:tr>
    </w:tbl>
    <w:p>
      <w:r>
        <w:rPr>
          <w:b w:val="0"/>
          <w:i w:val="0"/>
        </w:rPr>
        <w:t>1.3.7. Lô DO7: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chỉ tiêu</w:t>
            </w:r>
          </w:p>
        </w:tc>
        <w:tc>
          <w:tcPr>
            <w:tcW w:type="dxa" w:w="2880"/>
          </w:tcPr>
          <w:p>
            <w:r>
              <w:rPr>
                <w:b w:val="0"/>
                <w:i w:val="0"/>
              </w:rPr>
              <w:br/>
            </w:r>
            <w:r>
              <w:rPr>
                <w:b/>
                <w:i w:val="0"/>
              </w:rPr>
              <w:t>Chỉ tiêu</w:t>
            </w:r>
          </w:p>
        </w:tc>
      </w:tr>
    </w:tbl>
    <w:p>
      <w:r>
        <w:rPr>
          <w:b w:val="0"/>
          <w:i w:val="0"/>
        </w:rPr>
        <w:t>1.3.8. Lô DO8: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chỉ tiêu</w:t>
            </w:r>
          </w:p>
        </w:tc>
        <w:tc>
          <w:tcPr>
            <w:tcW w:type="dxa" w:w="2880"/>
          </w:tcPr>
          <w:p>
            <w:r>
              <w:rPr>
                <w:b w:val="0"/>
                <w:i w:val="0"/>
              </w:rPr>
              <w:br/>
            </w:r>
            <w:r>
              <w:rPr>
                <w:b/>
                <w:i w:val="0"/>
              </w:rPr>
              <w:t>Chỉ tiêu</w:t>
            </w:r>
          </w:p>
        </w:tc>
      </w:tr>
    </w:tbl>
    <w:p>
      <w:r>
        <w:rPr>
          <w:b w:val="0"/>
          <w:i w:val="0"/>
        </w:rPr>
        <w:t>1.3.9. Lô DO9: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chỉ tiêu</w:t>
            </w:r>
          </w:p>
        </w:tc>
        <w:tc>
          <w:tcPr>
            <w:tcW w:type="dxa" w:w="2880"/>
          </w:tcPr>
          <w:p>
            <w:r>
              <w:rPr>
                <w:b w:val="0"/>
                <w:i w:val="0"/>
              </w:rPr>
              <w:br/>
            </w:r>
            <w:r>
              <w:rPr>
                <w:b/>
                <w:i w:val="0"/>
              </w:rPr>
              <w:t>Chỉ tiêu</w:t>
            </w:r>
          </w:p>
        </w:tc>
      </w:tr>
    </w:tbl>
    <w:p>
      <w:r>
        <w:rPr>
          <w:b w:val="0"/>
          <w:i w:val="0"/>
        </w:rPr>
        <w:t>1.3.10. Lô DO10: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chỉ tiêu</w:t>
            </w:r>
          </w:p>
        </w:tc>
        <w:tc>
          <w:tcPr>
            <w:tcW w:type="dxa" w:w="2880"/>
          </w:tcPr>
          <w:p>
            <w:r>
              <w:rPr>
                <w:b w:val="0"/>
                <w:i w:val="0"/>
              </w:rPr>
              <w:br/>
            </w:r>
            <w:r>
              <w:rPr>
                <w:b/>
                <w:i w:val="0"/>
              </w:rPr>
              <w:t>Chỉ tiêu</w:t>
            </w:r>
          </w:p>
        </w:tc>
      </w:tr>
    </w:tbl>
    <w:p>
      <w:r>
        <w:rPr>
          <w:b w:val="0"/>
          <w:i w:val="0"/>
        </w:rPr>
        <w:t>1.4. Bổ sung khoản 7 về diện tích đậu xe phục vụ khu chung cư của dự án:</w:t>
      </w:r>
    </w:p>
    <w:p>
      <w:r>
        <w:rPr>
          <w:b w:val="0"/>
          <w:i w:val="0"/>
        </w:rPr>
        <w:t>- Tổng diện tích chỗ đậu xe hiện tại theo thiết kế cơ sở là 61.379,5m2, bao gồm 1.390 xe ôtô khu chung cư, 70 xe ôtô khu thương mại - dịch vụ chung cư, 8.432 xe gắn máy, 4.216 xe đạp. Quy đổi tương đương 2.455 chỗ đậu xe ôtô, đảm bảo tiêu chuẩn 01 chỗ đậu ôtô quy đổi (tương đương 25m2 gồm chỗ đậu và đường lưu thông) cho 02 căn hộ hoặc cho 100m2 sàn sử dụng thương mại, văn phòng.</w:t>
      </w:r>
    </w:p>
    <w:p>
      <w:r>
        <w:rPr>
          <w:b w:val="0"/>
          <w:i w:val="0"/>
        </w:rPr>
        <w:t>- Dự tính tương lai tiêu chuẩn 01 chỗ đậu ôtô cho 01 căn hộ thì tổng số chỗ đậu ôtô quy đổi là 4.286 chỗ phục vụ khu chung cư (gồm cả khu thương mại - dịch vụ chung cư). Số chỗ đậu ôtô dự kiến bố trí thêm tương lai là 1.831 chỗ tại vị trí sân các chung cư (khoảng 8.400m2) và tại các nhà đậu xe 3-4 tầng sẽ xây dựng khi có nhu cầu tại các công viên P1, P2, P3 với diện tích đất được dành khoảng 15.806m2.</w:t>
      </w:r>
    </w:p>
    <w:p>
      <w:r>
        <w:rPr>
          <w:b w:val="0"/>
          <w:i w:val="0"/>
        </w:rPr>
        <w:t>- Về diện tích chỗ đậu xe đối với các công trình thương mại - dịch vụ và công trình công cộng ngoài khu chung cư (như tại các lô DV1÷DV3, CC1÷CC4) sẽ được tính toán theo tiêu chuẩn quy phạm và sẽ được xem xét ở bước thẩm định thiết kế cơ sở từng công trình cụ thể.</w:t>
      </w:r>
    </w:p>
    <w:p>
      <w:r>
        <w:rPr>
          <w:b/>
          <w:i w:val="0"/>
        </w:rPr>
        <w:t>2. Trách nhiệm của chủ đầu tư:</w:t>
      </w:r>
    </w:p>
    <w:p>
      <w:r>
        <w:rPr>
          <w:b w:val="0"/>
          <w:i w:val="0"/>
        </w:rPr>
        <w:t>- Chịu trách nhiệm về tính chính xác, hợp lý của các chỉ tiêu quy hoạch - kiến trúc của dự án theo phương án thiết kế cơ sở đề xuất.</w:t>
      </w:r>
    </w:p>
    <w:p>
      <w:r>
        <w:rPr>
          <w:b w:val="0"/>
          <w:i w:val="0"/>
        </w:rPr>
        <w:t>- Chịu trách nhiệm thực hiện hoàn tất các thủ tục tiếp theo về đầu tư xây dựng theo quy định hiện hành.</w:t>
      </w:r>
    </w:p>
    <w:p>
      <w:r>
        <w:rPr>
          <w:b/>
          <w:i w:val="0"/>
        </w:rPr>
        <w:t xml:space="preserve">Điều 2. </w:t>
      </w:r>
      <w:r>
        <w:rPr>
          <w:b w:val="0"/>
          <w:i w:val="0"/>
        </w:rPr>
        <w:t>Các nội dung khác không được đề cập tại Điều 1 của Quyết định này vẫn giữ nguyên theo Quyết định số 4833/QĐ-UBND ngày 10 tháng 11 năm 2008 của Ủy ban nhân dân thành phố. Giao Sở Xây dựng xem xét thẩm định sự phù hợp của các bản vẽ quy hoạch chi tiết xây dựng (tỷ lệ 1/500) (nếu có điều chỉnh) của dự án theo các chỉ tiêu được điều chỉnh ở Điều 1 (kết hợp khi xem xét thẩm định hồ sơ thiết kế cơ sở của dự án).</w:t>
      </w:r>
    </w:p>
    <w:p>
      <w:r>
        <w:rPr>
          <w:b/>
          <w:i w:val="0"/>
        </w:rPr>
        <w:t xml:space="preserve">Điều 3. </w:t>
      </w:r>
      <w:r>
        <w:rPr>
          <w:b w:val="0"/>
          <w:i w:val="0"/>
        </w:rPr>
        <w:t>Chánh Văn phòng Ủy ban nhân dân thành phố, Giám đốc Sở Xây dựng, Sở Kế hoạch và Đầu tư, Sở Tài chính, Sở Giao thông vận tải, Sở Quy hoạch - Kiến trúc, Sở Tài nguyên và Môi trường, Chủ tịch Ủy ban nhân dân quận 2, Trưởng Ban quản lý đầu tư xây dựng Khu đô thị mới Thủ Thiêm, Công ty Phát triển Quốc tế Thế kỷ 21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rPr>
                <w:b w:val="0"/>
                <w:i w:val="0"/>
              </w:rPr>
              <w:br/>
            </w:r>
            <w:r>
              <w:rPr>
                <w:b/>
                <w:i w:val="0"/>
              </w:rPr>
              <w:t>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