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225/2003/QĐ-BTC về giá bán định hướng xăng dầu</w:t>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225/2003/QĐ-BTC</w:t>
        <w:br/>
        <w:t xml:space="preserve">    </w:t>
      </w:r>
      <w:r>
        <w:rPr>
          <w:b w:val="0"/>
          <w:i w:val="0"/>
        </w:rPr>
        <w:br/>
      </w:r>
      <w:r>
        <w:rPr>
          <w:b w:val="0"/>
          <w:i/>
        </w:rPr>
        <w:br/>
      </w:r>
      <w:r>
        <w:rPr>
          <w:b w:val="0"/>
          <w:i/>
        </w:rPr>
        <w:t>Hà Nội, ngày 26 tháng 12 năm 2003</w:t>
      </w:r>
      <w:r>
        <w:rPr>
          <w:b w:val="0"/>
          <w:i/>
        </w:rPr>
        <w:br/>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225/2003/QĐ-BTC</w:t>
        <w:br/>
        <w:t xml:space="preserve">    </w:t>
      </w:r>
      <w:r>
        <w:rPr>
          <w:b w:val="0"/>
          <w:i w:val="0"/>
        </w:rPr>
        <w:br/>
      </w:r>
      <w:r>
        <w:rPr>
          <w:b w:val="0"/>
          <w:i/>
        </w:rPr>
        <w:br/>
      </w:r>
      <w:r>
        <w:rPr>
          <w:b w:val="0"/>
          <w:i/>
        </w:rPr>
        <w:t>Hà Nội, ngày 26 tháng 12 năm 2003</w:t>
      </w:r>
      <w:r>
        <w:rPr>
          <w:b w:val="0"/>
          <w:i/>
        </w:rPr>
        <w:br/>
      </w:r>
      <w:r>
        <w:rPr>
          <w:b w:val="0"/>
          <w:i w:val="0"/>
        </w:rPr>
        <w:br/>
      </w:r>
    </w:p>
    <w:p>
      <w:pPr>
        <w:jc w:val="center"/>
      </w:pPr>
      <w:r>
        <w:rPr>
          <w:b w:val="0"/>
          <w:i w:val="0"/>
        </w:rPr>
        <w:br/>
        <w:t xml:space="preserve">     Số: 225/2003/QĐ-BTC</w:t>
        <w:br/>
        <w:t xml:space="preserve">    </w:t>
      </w:r>
    </w:p>
    <w:p>
      <w:pPr>
        <w:jc w:val="center"/>
      </w:pPr>
      <w:r>
        <w:rPr>
          <w:b w:val="0"/>
          <w:i w:val="0"/>
        </w:rPr>
        <w:br/>
      </w:r>
      <w:r>
        <w:rPr>
          <w:b w:val="0"/>
          <w:i/>
        </w:rPr>
        <w:t>Hà Nội, ngày 26 tháng 12 năm 2003</w:t>
      </w:r>
      <w:r>
        <w:rPr>
          <w:b w:val="0"/>
          <w:i w:val="0"/>
        </w:rPr>
        <w:br/>
      </w:r>
    </w:p>
    <w:p>
      <w:r>
        <w:rPr>
          <w:b/>
          <w:i w:val="0"/>
        </w:rPr>
        <w:t xml:space="preserve">QUYẾT ĐỊNH </w:t>
      </w:r>
    </w:p>
    <w:p>
      <w:r>
        <w:rPr>
          <w:b/>
          <w:i w:val="0"/>
        </w:rPr>
        <w:t>Về giá bán định hướng xăng dầu</w:t>
      </w:r>
    </w:p>
    <w:p>
      <w:r>
        <w:rPr>
          <w:b w:val="0"/>
          <w:i w:val="0"/>
        </w:rPr>
        <w:t>__________________________</w:t>
      </w:r>
    </w:p>
    <w:p>
      <w:r>
        <w:rPr>
          <w:b w:val="0"/>
          <w:i w:val="0"/>
        </w:rPr>
        <w:t xml:space="preserve"> </w:t>
      </w:r>
      <w:r>
        <w:rPr>
          <w:b/>
          <w:i w:val="0"/>
        </w:rPr>
        <w:t>BỘ TRƯỞNG BỘ TÀI CHÍNH</w:t>
      </w:r>
    </w:p>
    <w:p>
      <w:r>
        <w:rPr>
          <w:b w:val="0"/>
          <w:i/>
        </w:rPr>
        <w:t>Căn cứ Nghị định số 77/2003/NĐ-CP ngày 01/7/2003 của Chính phủ quy định chức năng, nhiệm vụ, quyền hạn và cơ cấu tổ chức của Bộ Tài chính;</w:t>
      </w:r>
    </w:p>
    <w:p>
      <w:r>
        <w:rPr>
          <w:b w:val="0"/>
          <w:i/>
        </w:rPr>
        <w:t>Thực hiện Quyết định số 187/2003/QĐ-TTg ngày 15/9/2003 của Thủ tướng Chính phủ về việc ban hành quy chế quản lý kinh doanh xăng dầu;</w:t>
      </w:r>
    </w:p>
    <w:p>
      <w:r>
        <w:rPr>
          <w:b w:val="0"/>
          <w:i/>
        </w:rPr>
        <w:t>Sau khi trao đổi với Bộ Thương mại và Bộ Kế hoạch - Đầu tư.</w:t>
      </w:r>
    </w:p>
    <w:p>
      <w:r>
        <w:rPr>
          <w:b/>
          <w:i w:val="0"/>
        </w:rPr>
        <w:t>QUYẾT ĐỊNH:</w:t>
      </w:r>
    </w:p>
    <w:p>
      <w:r>
        <w:rPr>
          <w:b/>
          <w:i w:val="0"/>
        </w:rPr>
        <w:t xml:space="preserve">Điều 1. </w:t>
      </w:r>
      <w:r>
        <w:rPr>
          <w:b w:val="0"/>
          <w:i w:val="0"/>
        </w:rPr>
        <w:t>Giá định hướng (đã bao gồm thuế giá trị gia tăng) bán xăng dầu của 1 số chủng loại chuẩn ở nhiệt độ thực tế được quy định thống nhất trong cả nước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Giá bán buôn định hướng (đồng/ki lô gam)</w:t>
            </w:r>
          </w:p>
        </w:tc>
        <w:tc>
          <w:tcPr>
            <w:tcW w:type="dxa" w:w="2880"/>
          </w:tcPr>
          <w:p>
            <w:r>
              <w:rPr>
                <w:b w:val="0"/>
                <w:i w:val="0"/>
              </w:rPr>
              <w:br/>
            </w:r>
            <w:r>
              <w:rPr>
                <w:b w:val="0"/>
                <w:i w:val="0"/>
              </w:rPr>
              <w:t>Giá bán lẻ định hướng</w:t>
            </w:r>
            <w:r>
              <w:rPr>
                <w:b w:val="0"/>
                <w:i w:val="0"/>
              </w:rPr>
              <w:t xml:space="preserve">   </w:t>
            </w:r>
            <w:r>
              <w:rPr>
                <w:b w:val="0"/>
                <w:i w:val="0"/>
              </w:rPr>
              <w:t>(đồng/lít)</w:t>
            </w:r>
          </w:p>
        </w:tc>
      </w:tr>
    </w:tbl>
    <w:p>
      <w:r>
        <w:rPr>
          <w:b w:val="0"/>
          <w:i w:val="0"/>
        </w:rPr>
        <w:t>Mức giá bán xăng dầu thực tế do các doanh nghiệp kinh doanh nhập khẩu (hoặc ủy quyền cho các đơn vị trực thuộc, đại lý thuộc hệ thống phân phối của mình) quy định theo hướng dẫn hiện hành của Bộ Thương mại.</w:t>
      </w:r>
    </w:p>
    <w:p>
      <w:r>
        <w:rPr>
          <w:b w:val="0"/>
          <w:i w:val="0"/>
        </w:rPr>
        <w:t>Giá các loại xăng dầu khác do các doanh nghiệp kinh doanh xăng dầu quy định căn cứ vào giá bán thực tế của các loại xăng dầu chuẩn trên cùng thị trường và chênh lệch chất lượng so với các loại xăng dầu nêu trên.</w:t>
      </w:r>
    </w:p>
    <w:p>
      <w:r>
        <w:rPr>
          <w:b/>
          <w:i w:val="0"/>
        </w:rPr>
        <w:t>Điều 2.</w:t>
      </w:r>
      <w:r>
        <w:rPr>
          <w:b w:val="0"/>
          <w:i w:val="0"/>
        </w:rPr>
        <w:t xml:space="preserve"> Địa điểm bán hàng:</w:t>
      </w:r>
    </w:p>
    <w:p>
      <w:r>
        <w:rPr>
          <w:b w:val="0"/>
          <w:i w:val="0"/>
        </w:rPr>
        <w:t>- Bán buôn: hàng được giao tại kho trung tâm tỉnh, thành phố trên phương tiện bên mua;</w:t>
      </w:r>
    </w:p>
    <w:p>
      <w:r>
        <w:rPr>
          <w:b w:val="0"/>
          <w:i w:val="0"/>
        </w:rPr>
        <w:t>- Bán lẻ: hàng được bán tại cây xăng và cửa hàng bán lẻ ở các tỉnh, thành phố trên phương tiện bên mua.</w:t>
      </w:r>
    </w:p>
    <w:p>
      <w:r>
        <w:rPr>
          <w:b/>
          <w:i w:val="0"/>
        </w:rPr>
        <w:t xml:space="preserve">Điều 3. </w:t>
      </w:r>
      <w:r>
        <w:rPr>
          <w:b w:val="0"/>
          <w:i w:val="0"/>
        </w:rPr>
        <w:t>Trách nhiệm của các bên liên quan:</w:t>
      </w:r>
    </w:p>
    <w:p>
      <w:r>
        <w:rPr>
          <w:b w:val="0"/>
          <w:i w:val="0"/>
        </w:rPr>
        <w:t>- Các doanh nghiệp kinh doanh xuất khẩu xăng dầu phải liên đới chịu trách nhiệm trước pháp luật về hành vi vi phạm giá bán xăng dầu của các đơn vị trực thuộc, đại lý bán lẻ thuộc hệ thống phân phối của doanh nghiệp mình.</w:t>
      </w:r>
    </w:p>
    <w:p>
      <w:r>
        <w:rPr>
          <w:b w:val="0"/>
          <w:i w:val="0"/>
        </w:rPr>
        <w:t>Trường hợp giá cả xăng dầu trên thị trường thế giới có biến động lớn, Tổng Công ty Xăng dầu Việt Nam và các doanh nghiệp khác được Nhà nước giao nhiệm vụ nhập khẩu và kinh doanh xăng dầu có trách nhiệm điều hòa cung cầu và phải đáp ứng đủ nhu cầu xăng dầu theo nhiệm vụ được giao.</w:t>
      </w:r>
    </w:p>
    <w:p>
      <w:r>
        <w:rPr>
          <w:b w:val="0"/>
          <w:i w:val="0"/>
        </w:rPr>
        <w:t>- Sở Tài chính các tỉnh, thành phố phối hợp với các Sở Thương mại có trách nhiệm kiểm tra tình hình thực hiện giá bán xăng dầu tại địa phương, kịp thời phát hiện những sai phạm và xử lý trong phạm vi quyền hạn của mình theo các quy định hiện hành hoặc báo cáo các cơ quan có thẩm quyền xử lý.</w:t>
      </w:r>
    </w:p>
    <w:p>
      <w:r>
        <w:rPr>
          <w:b/>
          <w:i w:val="0"/>
        </w:rPr>
        <w:t xml:space="preserve">Điều 4. </w:t>
      </w:r>
      <w:r>
        <w:rPr>
          <w:b w:val="0"/>
          <w:i w:val="0"/>
        </w:rPr>
        <w:t>Quyết định này có hiệu lực thi hành kể từ ngày 01 tháng 01 năm 2004. Mọi quy định trước đây trái với quyết định này đều không có hiệu lực thi hành.</w:t>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r>
      <w:r>
        <w:rPr>
          <w:b/>
          <w:i w:val="0"/>
        </w:rPr>
        <w:br/>
        <w:t xml:space="preserve">     Nguyễn Ngọc Tuấn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val="0"/>
          <w:i w:val="0"/>
        </w:rPr>
        <w:br/>
      </w:r>
      <w:r>
        <w:rPr>
          <w:b/>
          <w:i w:val="0"/>
        </w:rPr>
        <w:br/>
        <w:t xml:space="preserve">     Nguyễn Ngọc Tuấn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Ngọc Tuấn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