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227/2005/QĐ-TTg Về việc phê duyệt điều chỉnh phương án sắp xếp, đổi mới công ty nhà nước thuộc Viện Khoa học và Công nghệ Việt Nam</w:t>
      </w:r>
    </w:p>
    <w:p>
      <w:r>
        <w:rPr>
          <w:b w:val="0"/>
          <w:i w:val="0"/>
        </w:rPr>
        <w:br/>
      </w:r>
      <w:r>
        <w:rPr>
          <w:b w:val="0"/>
          <w:i w:val="0"/>
        </w:rPr>
        <w:br/>
      </w:r>
      <w:r>
        <w:rPr>
          <w:b w:val="0"/>
          <w:i w:val="0"/>
        </w:rPr>
        <w:br/>
      </w:r>
      <w:r>
        <w:rPr>
          <w:b w:val="0"/>
          <w:i w:val="0"/>
        </w:rPr>
        <w:br/>
      </w:r>
      <w:r>
        <w:rPr>
          <w:b w:val="0"/>
          <w:i w:val="0"/>
        </w:rPr>
        <w:br/>
      </w:r>
      <w:r>
        <w:rPr>
          <w:b/>
          <w:i w:val="0"/>
        </w:rPr>
        <w:t xml:space="preserve">THỦ TƯỚNG </w:t>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227/2005/QĐ-TTg</w:t>
      </w:r>
      <w:r>
        <w:rPr>
          <w:b w:val="0"/>
          <w:i w:val="0"/>
        </w:rPr>
        <w:br/>
      </w:r>
      <w:r>
        <w:rPr>
          <w:b w:val="0"/>
          <w:i w:val="0"/>
        </w:rPr>
        <w:br/>
      </w:r>
      <w:r>
        <w:rPr>
          <w:b w:val="0"/>
          <w:i/>
        </w:rPr>
        <w:t xml:space="preserve">Hà Nội, ngày 15 tháng 09 năm 2005 </w:t>
      </w:r>
      <w:r>
        <w:rPr>
          <w:b w:val="0"/>
          <w:i w:val="0"/>
        </w:rPr>
        <w:br/>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i/>
        </w:rPr>
        <w:t>Về việc phê duyệt điều chỉnh phương án sắp xếp, đổi mới công ty nhà nước thuộc Viện Khoa học và Công nghệ Việt Nam</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 xml:space="preserve">Căn cứ Quyết định số 155/2004/QĐ-TTg ngày 24 tháng 8 năm 2004 của Thủ tướng Chính phủ về ban hành tiêu chí, danh mục phân loại công ty nhà nước và công ty thành viên hạch toán độc lập thuộc Tổng công ty nhà nước; </w:t>
      </w:r>
      <w:r>
        <w:rPr>
          <w:b w:val="0"/>
          <w:i w:val="0"/>
        </w:rPr>
        <w:br/>
      </w:r>
      <w:r>
        <w:rPr>
          <w:b w:val="0"/>
          <w:i/>
        </w:rPr>
        <w:t>Xét đề nghị của Viện Khoa học và Công nghệ Việt Nam.</w:t>
      </w:r>
      <w:r>
        <w:rPr>
          <w:b w:val="0"/>
          <w:i w:val="0"/>
        </w:rPr>
        <w:br/>
      </w:r>
      <w:r>
        <w:rPr>
          <w:b/>
          <w:i w:val="0"/>
        </w:rPr>
        <w:t>QUYẾT ĐỊNH</w:t>
      </w:r>
      <w:r>
        <w:rPr>
          <w:b w:val="0"/>
          <w:i w:val="0"/>
        </w:rPr>
        <w:br/>
      </w:r>
      <w:r>
        <w:rPr>
          <w:b/>
          <w:i w:val="0"/>
        </w:rPr>
        <w:t>Điều 1.</w:t>
      </w:r>
      <w:r>
        <w:rPr>
          <w:b w:val="0"/>
          <w:i w:val="0"/>
        </w:rPr>
        <w:t xml:space="preserve"> Phê duyệt điều chỉnh phương án sắp xếp, đổi mới công ty nhà nước trực thuộc Viện Khoa học và Công nghệ Việt Nam năm 2005-2006 như Phụ lục kèm theo.</w:t>
      </w:r>
      <w:r>
        <w:rPr>
          <w:b w:val="0"/>
          <w:i w:val="0"/>
        </w:rPr>
        <w:br/>
      </w:r>
      <w:r>
        <w:rPr>
          <w:b/>
          <w:i w:val="0"/>
        </w:rPr>
        <w:t>Điều 2.</w:t>
      </w:r>
      <w:r>
        <w:rPr>
          <w:b w:val="0"/>
          <w:i w:val="0"/>
        </w:rPr>
        <w:t xml:space="preserve"> Chủ tịch Viện Khoa học và Công nghệ Việt Nam:</w:t>
      </w:r>
      <w:r>
        <w:rPr>
          <w:b w:val="0"/>
          <w:i w:val="0"/>
        </w:rPr>
        <w:br/>
      </w:r>
      <w:r>
        <w:rPr>
          <w:b w:val="0"/>
          <w:i w:val="0"/>
        </w:rPr>
        <w:t>1. Chỉ đạo thực hiện việc sắp xếp, đổi mới công ty nhà nước trực thuộc theo đúng nội dung đã được phê duyệt; bán, cổ phần hóa một số bộ phận doanh nghiệp thuộc Công ty Sản xuất dịch vụ xuất nhập khẩu khoa học và kỹ thuật, Công ty ứng dụng khoa học kỹ thuật và chuyển giao công nghệ mới theo quy định hiện hành.</w:t>
      </w:r>
      <w:r>
        <w:rPr>
          <w:b w:val="0"/>
          <w:i w:val="0"/>
        </w:rPr>
        <w:br/>
      </w:r>
      <w:r>
        <w:rPr>
          <w:b w:val="0"/>
          <w:i w:val="0"/>
        </w:rPr>
        <w:t>2. Quyết định việc sắp xếp Công ty NETNAM và Công ty Phát triển công nghệ theo quy định của pháp luật.</w:t>
      </w:r>
      <w:r>
        <w:rPr>
          <w:b w:val="0"/>
          <w:i w:val="0"/>
        </w:rPr>
        <w:br/>
      </w:r>
      <w:r>
        <w:rPr>
          <w:b/>
          <w:i w:val="0"/>
        </w:rPr>
        <w:t>Điều 3.</w:t>
      </w:r>
      <w:r>
        <w:rPr>
          <w:b w:val="0"/>
          <w:i w:val="0"/>
        </w:rPr>
        <w:t xml:space="preserve"> Các Bộ: Tài chính, Kế hoạch và Đầu tư, Nội vụ, Lao động – Thương binh và Xã hội, Ban Chỉ đạo Đổi mới và phát triển doanh nghiệp và các cơ quan có liên quan có trách nhiệm phối hợp với Viện Khoa học và Công nghệ Việt Nam trong việc thực hiện Phương án nói trên.</w:t>
      </w:r>
      <w:r>
        <w:rPr>
          <w:b w:val="0"/>
          <w:i w:val="0"/>
        </w:rPr>
        <w:br/>
      </w:r>
      <w:r>
        <w:rPr>
          <w:b/>
          <w:i w:val="0"/>
        </w:rPr>
        <w:t>Điều 4.</w:t>
      </w:r>
      <w:r>
        <w:rPr>
          <w:b w:val="0"/>
          <w:i w:val="0"/>
        </w:rPr>
        <w:t xml:space="preserve"> Quyết định này có hiệu lực sau 15 ngày, kể từ ngày đăng Công báo</w:t>
      </w:r>
      <w:r>
        <w:rPr>
          <w:b w:val="0"/>
          <w:i w:val="0"/>
        </w:rPr>
        <w:br/>
      </w:r>
      <w:r>
        <w:rPr>
          <w:b w:val="0"/>
          <w:i w:val="0"/>
        </w:rPr>
        <w:t>Chủ tịch Viện Khoa học và Công nghệ Việt Nam và Thủ tướng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br/>
      </w:r>
      <w:r>
        <w:rPr>
          <w:b w:val="0"/>
          <w:i w:val="0"/>
        </w:rPr>
        <w:t>- Thủ tướng, các PTT Chính phủ; - Ban Kinh tế Trung ương;</w:t>
      </w:r>
      <w:r>
        <w:br/>
      </w:r>
      <w:r>
        <w:rPr>
          <w:b w:val="0"/>
          <w:i w:val="0"/>
        </w:rPr>
        <w:t>- Các Bộ: Tài chính, Kế họach và Đầu tư, Nội vụ, Lao động-Thương binh và Xã hội;</w:t>
      </w:r>
      <w:r>
        <w:br/>
      </w:r>
      <w:r>
        <w:rPr>
          <w:b w:val="0"/>
          <w:i w:val="0"/>
        </w:rPr>
        <w:t>- Ngân hàng Nhà nước Việt Nam;</w:t>
      </w:r>
      <w:r>
        <w:br/>
      </w:r>
      <w:r>
        <w:rPr>
          <w:b w:val="0"/>
          <w:i w:val="0"/>
        </w:rPr>
        <w:t>-Viện Khoa học và Công nghệ Việt Nam;</w:t>
      </w:r>
      <w:r>
        <w:br/>
      </w:r>
      <w:r>
        <w:rPr>
          <w:b w:val="0"/>
          <w:i w:val="0"/>
        </w:rPr>
        <w:t>BCĐ Đổi mới và Phát triển doanh nghiệp;</w:t>
      </w:r>
      <w:r>
        <w:br/>
      </w:r>
      <w:r>
        <w:rPr>
          <w:b w:val="0"/>
          <w:i w:val="0"/>
        </w:rPr>
        <w:t xml:space="preserve">- VPCP: BTCN, PCN Phạm Viết Muôn, </w:t>
      </w:r>
      <w:r>
        <w:br/>
      </w:r>
      <w:r>
        <w:rPr>
          <w:b w:val="0"/>
          <w:i w:val="0"/>
        </w:rPr>
        <w:t xml:space="preserve">các Vụ:TH, KTT, KG,Công báo; </w:t>
      </w:r>
      <w:r>
        <w:br/>
      </w:r>
      <w:r>
        <w:rPr>
          <w:b w:val="0"/>
          <w:i w:val="0"/>
        </w:rPr>
        <w:t>- Lưu: VT, ĐMDN (5b) A</w:t>
      </w:r>
      <w:r>
        <w:br/>
      </w:r>
      <w:r>
        <w:rPr>
          <w:b w:val="0"/>
          <w:i w:val="0"/>
        </w:rPr>
        <w:t>[i]</w:t>
      </w:r>
      <w:r>
        <w:rPr>
          <w:b w:val="0"/>
          <w:i w:val="0"/>
        </w:rPr>
        <w:br/>
      </w:r>
      <w:r>
        <w:rPr>
          <w:b w:val="0"/>
          <w:i w:val="0"/>
        </w:rPr>
        <w:br/>
      </w:r>
      <w:r>
        <w:rPr>
          <w:b/>
          <w:i w:val="0"/>
        </w:rPr>
        <w:t>KT. THỦ TƯỚNG</w:t>
      </w:r>
      <w:r>
        <w:br/>
      </w:r>
      <w:r>
        <w:rPr>
          <w:b/>
          <w:i w:val="0"/>
        </w:rPr>
        <w:br/>
        <w:t xml:space="preserve">           PHÓ THỦ TƯỚNG</w:t>
      </w:r>
      <w:r>
        <w:br/>
      </w:r>
      <w:r>
        <w:br/>
      </w:r>
      <w:r>
        <w:rPr>
          <w:b/>
          <w:i/>
        </w:rPr>
        <w:t>(Đã ký)</w:t>
      </w:r>
      <w:r>
        <w:br/>
      </w:r>
      <w:r>
        <w:rPr>
          <w:b/>
          <w:i w:val="0"/>
        </w:rPr>
        <w:br/>
        <w:t xml:space="preserve">           Nguyễn Tấn Dũng </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Thủ tướng, các PTT Chính phủ; - Ban Kinh tế Trung ương;</w:t>
            </w:r>
            <w:r>
              <w:br/>
            </w:r>
            <w:r>
              <w:rPr>
                <w:b w:val="0"/>
                <w:i w:val="0"/>
              </w:rPr>
              <w:t>- Các Bộ: Tài chính, Kế họach và Đầu tư, Nội vụ, Lao động-Thương binh và Xã hội;</w:t>
            </w:r>
            <w:r>
              <w:br/>
            </w:r>
            <w:r>
              <w:rPr>
                <w:b w:val="0"/>
                <w:i w:val="0"/>
              </w:rPr>
              <w:t>- Ngân hàng Nhà nước Việt Nam;</w:t>
            </w:r>
            <w:r>
              <w:br/>
            </w:r>
            <w:r>
              <w:rPr>
                <w:b w:val="0"/>
                <w:i w:val="0"/>
              </w:rPr>
              <w:t>-Viện Khoa học và Công nghệ Việt Nam;</w:t>
            </w:r>
            <w:r>
              <w:br/>
            </w:r>
            <w:r>
              <w:rPr>
                <w:b w:val="0"/>
                <w:i w:val="0"/>
              </w:rPr>
              <w:t>BCĐ Đổi mới và Phát triển doanh nghiệp;</w:t>
            </w:r>
            <w:r>
              <w:br/>
            </w:r>
            <w:r>
              <w:rPr>
                <w:b w:val="0"/>
                <w:i w:val="0"/>
              </w:rPr>
              <w:t xml:space="preserve">- VPCP: BTCN, PCN Phạm Viết Muôn, </w:t>
            </w:r>
            <w:r>
              <w:br/>
            </w:r>
            <w:r>
              <w:rPr>
                <w:b w:val="0"/>
                <w:i w:val="0"/>
              </w:rPr>
              <w:t xml:space="preserve">các Vụ:TH, KTT, KG,Công báo; </w:t>
            </w:r>
            <w:r>
              <w:br/>
            </w:r>
            <w:r>
              <w:rPr>
                <w:b w:val="0"/>
                <w:i w:val="0"/>
              </w:rPr>
              <w:t>- Lưu: VT, ĐMDN (5b) A</w:t>
            </w:r>
            <w:r>
              <w:br/>
            </w:r>
            <w:r>
              <w:rPr>
                <w:b w:val="0"/>
                <w:i w:val="0"/>
              </w:rPr>
              <w:t>[i]</w:t>
            </w:r>
          </w:p>
        </w:tc>
        <w:tc>
          <w:tcPr>
            <w:tcW w:type="dxa" w:w="4320"/>
          </w:tcPr>
          <w:p>
            <w:r>
              <w:rPr>
                <w:b w:val="0"/>
                <w:i w:val="0"/>
              </w:rPr>
              <w:br/>
            </w:r>
            <w:r>
              <w:rPr>
                <w:b/>
                <w:i w:val="0"/>
              </w:rPr>
              <w:t>KT. THỦ TƯỚNG</w:t>
            </w:r>
            <w:r>
              <w:br/>
            </w:r>
            <w:r>
              <w:rPr>
                <w:b/>
                <w:i w:val="0"/>
              </w:rPr>
              <w:br/>
              <w:t xml:space="preserve">           PHÓ THỦ TƯỚNG</w:t>
            </w:r>
            <w:r>
              <w:br/>
            </w:r>
            <w:r>
              <w:br/>
            </w:r>
            <w:r>
              <w:rPr>
                <w:b/>
                <w:i/>
              </w:rPr>
              <w:t>(Đã ký)</w:t>
            </w:r>
            <w:r>
              <w:br/>
            </w:r>
            <w:r>
              <w:rPr>
                <w:b/>
                <w:i w:val="0"/>
              </w:rPr>
              <w:br/>
              <w:t xml:space="preserve">           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