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2285/QĐ-BTC Ban hành quy chế về quy trình thông báo giá xăng thế giới làm căn cứ áp dụng mức thuế suất nhập khẩu ưu đãi đối với một số mặt hàng thuộc nhóm 2710</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2285/QĐ-BTC</w:t>
      </w:r>
      <w:r>
        <w:rPr>
          <w:b w:val="0"/>
          <w:i w:val="0"/>
        </w:rPr>
        <w:br/>
      </w:r>
      <w:r>
        <w:rPr>
          <w:b w:val="0"/>
          <w:i w:val="0"/>
        </w:rPr>
        <w:br/>
      </w:r>
      <w:r>
        <w:rPr>
          <w:b w:val="0"/>
          <w:i/>
        </w:rPr>
        <w:t xml:space="preserve">Hà Nội, ngày 05 tháng 07 năm 2007 </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về quy trình thông báo giá xăng thế giới làm căn cứ áp dụng mức thuế suất nhập khẩu ưu đãi đối với một số mặt hàng thuộc nhóm 2710</w:t>
      </w:r>
      <w:r>
        <w:rPr>
          <w:b w:val="0"/>
          <w:i w:val="0"/>
        </w:rPr>
        <w:br/>
      </w:r>
      <w:r>
        <w:rPr>
          <w:b w:val="0"/>
          <w:i w:val="0"/>
        </w:rPr>
        <w:t xml:space="preserve"> </w:t>
      </w:r>
      <w:r>
        <w:rPr>
          <w:b/>
          <w:i w:val="0"/>
        </w:rPr>
        <w:t>BỘ TRƯỞNG BỘ TÀI CHÍNH</w:t>
      </w:r>
      <w:r>
        <w:rPr>
          <w:b w:val="0"/>
          <w:i w:val="0"/>
        </w:rPr>
        <w:br/>
      </w:r>
      <w:r>
        <w:rPr>
          <w:b/>
          <w:i w:val="0"/>
        </w:rPr>
        <w:t xml:space="preserve"> </w:t>
      </w:r>
      <w:r>
        <w:rPr>
          <w:b w:val="0"/>
          <w:i/>
        </w:rPr>
        <w:t>Căn cứ Nghị định số 77/2003/NĐ-CP ngày 01/7/2003 của Chính phủ quy định chức năng nhiệm vụ, quyền hạn và cơ cấu tổ chức của Bộ Tài chính.</w:t>
      </w:r>
      <w:r>
        <w:rPr>
          <w:b w:val="0"/>
          <w:i w:val="0"/>
        </w:rPr>
        <w:br/>
      </w:r>
      <w:r>
        <w:rPr>
          <w:b w:val="0"/>
          <w:i/>
        </w:rPr>
        <w:t>Căn cứ Quyết định số 118/2003/QĐ-BTC của Bộ trưởng Bộ Tài chính ngày 29/07/2003 về quy định chức năng, nhiệm vụ, quyền hạn và cơ cấu tổ chức của Cục Quản lý giá.</w:t>
      </w:r>
      <w:r>
        <w:rPr>
          <w:b w:val="0"/>
          <w:i w:val="0"/>
        </w:rPr>
        <w:br/>
      </w:r>
      <w:r>
        <w:rPr>
          <w:b w:val="0"/>
          <w:i/>
        </w:rPr>
        <w:t>Căn cứ Điều 2 Quyết định số 40/2007/QĐ-BTC ngày 31 tháng 5 năm 2007 của Bộ trưởng Bộ Tài chính về việc ban hành mức thuế suất thuế nhập khẩu đối với một số mặt hàng thuộc nhóm 2710 trong Biểu thuế nhập khẩu ưu đãi.</w:t>
      </w:r>
      <w:r>
        <w:rPr>
          <w:b w:val="0"/>
          <w:i w:val="0"/>
        </w:rPr>
        <w:br/>
      </w:r>
      <w:r>
        <w:rPr>
          <w:b w:val="0"/>
          <w:i/>
        </w:rPr>
        <w:t>Theo đề nghị của Cục trưởng Cục Quản lý giá và thủ trưởng các đơn vị liên quan thuộc Bộ.</w:t>
      </w:r>
      <w:r>
        <w:rPr>
          <w:b w:val="0"/>
          <w:i w:val="0"/>
        </w:rPr>
        <w:br/>
      </w:r>
      <w:r>
        <w:rPr>
          <w:b/>
          <w:i w:val="0"/>
        </w:rPr>
        <w:t xml:space="preserve"> QUYẾT ĐỊNH:</w:t>
      </w:r>
      <w:r>
        <w:rPr>
          <w:b w:val="0"/>
          <w:i w:val="0"/>
        </w:rPr>
        <w:br/>
      </w:r>
      <w:r>
        <w:rPr>
          <w:b/>
          <w:i w:val="0"/>
        </w:rPr>
        <w:t>Điều 1:</w:t>
      </w:r>
      <w:r>
        <w:rPr>
          <w:b w:val="0"/>
          <w:i w:val="0"/>
        </w:rPr>
        <w:t xml:space="preserve"> Ban hành kèm theo quyết định này Quy chế về quy trình thông báo giá xăng thế giới làm theo căn cứ áp dụng mức thuế suất thuế nhập khẩu ưu đãi được quy định tại quyết định số 40/2007/QĐ-BTC ngày 31/5/2007 của Bộ trưởng Bộ Tài chính.</w:t>
      </w:r>
      <w:r>
        <w:rPr>
          <w:b w:val="0"/>
          <w:i w:val="0"/>
        </w:rPr>
        <w:br/>
      </w:r>
      <w:r>
        <w:rPr>
          <w:b/>
          <w:i w:val="0"/>
        </w:rPr>
        <w:t>Điều 2:</w:t>
      </w:r>
      <w:r>
        <w:rPr>
          <w:b w:val="0"/>
          <w:i w:val="0"/>
        </w:rPr>
        <w:t xml:space="preserve"> Quyết định này có hiệu lực thi hành kể từ ngày ký.</w:t>
      </w:r>
      <w:r>
        <w:rPr>
          <w:b w:val="0"/>
          <w:i w:val="0"/>
        </w:rPr>
        <w:br/>
      </w:r>
      <w:r>
        <w:rPr>
          <w:b/>
          <w:i w:val="0"/>
        </w:rPr>
        <w:t>Điều 3:</w:t>
      </w:r>
      <w:r>
        <w:rPr>
          <w:b w:val="0"/>
          <w:i w:val="0"/>
        </w:rPr>
        <w:t xml:space="preserve"> Cục trưởng Cục Quản lý giá, Vụ trưởng vụ chính sách thuế, Tổng cục trưởng Tổng cục Hải quan, Cục trưởng Cục Tin học và thống kê tài chính, thủ trưởng các đơn vị liên quan thuộc Bộ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br/>
      </w:r>
      <w:r>
        <w:rPr>
          <w:b/>
          <w:i w:val="0"/>
        </w:rPr>
        <w:t>THỨ TRƯỞNG</w:t>
      </w:r>
      <w:r>
        <w:br/>
      </w:r>
      <w:r>
        <w:br/>
      </w:r>
      <w:r>
        <w:br/>
      </w:r>
      <w:r>
        <w:br/>
      </w:r>
      <w:r>
        <w:br/>
      </w:r>
      <w:r>
        <w:rPr>
          <w:b/>
          <w:i w:val="0"/>
        </w:rPr>
        <w:br/>
        <w:t xml:space="preserve">           Trần Văn Tá</w:t>
      </w:r>
      <w:r>
        <w:rPr>
          <w:b w:val="0"/>
          <w:i w:val="0"/>
        </w:rPr>
        <w:br/>
      </w:r>
      <w:r>
        <w:rPr>
          <w:b w:val="0"/>
          <w:i w:val="0"/>
        </w:rPr>
        <w:br/>
      </w:r>
      <w:r>
        <w:rPr>
          <w:b w:val="0"/>
          <w:i w:val="0"/>
        </w:rPr>
        <w:br/>
      </w:r>
      <w:r>
        <w:rPr>
          <w:b w:val="0"/>
          <w:i w:val="0"/>
        </w:rPr>
        <w:br/>
      </w:r>
      <w:r>
        <w:rPr>
          <w:b/>
          <w:i w:val="0"/>
        </w:rPr>
        <w:t xml:space="preserve"> </w:t>
      </w:r>
      <w:r>
        <w:rPr>
          <w:b w:val="0"/>
          <w:i w:val="0"/>
        </w:rPr>
        <w:br/>
      </w:r>
      <w:r>
        <w:rPr>
          <w:b/>
          <w:i w:val="0"/>
        </w:rPr>
        <w:t>QUY CHẾ</w:t>
      </w:r>
      <w:r>
        <w:rPr>
          <w:b w:val="0"/>
          <w:i w:val="0"/>
        </w:rPr>
        <w:br/>
      </w:r>
      <w:r>
        <w:rPr>
          <w:b w:val="0"/>
          <w:i w:val="0"/>
        </w:rPr>
        <w:t>VỀ QUY TRÌNH THÔNG BÁO GIÁ XĂNG THẾ GIỚI LÀM CĂN CỨ ÁP DỤNG MỨC THUẾ SUẤT THUẾ NHẬP KHẨU ƯU ĐÃI ĐỐI VỚI MỘT SỐ MẶT HÀNG THUỘC NHÓM 2710</w:t>
      </w:r>
      <w:r>
        <w:rPr>
          <w:b w:val="0"/>
          <w:i w:val="0"/>
        </w:rPr>
        <w:br/>
      </w:r>
      <w:r>
        <w:rPr>
          <w:b w:val="0"/>
          <w:i/>
        </w:rPr>
        <w:t>(Ban hành kèm theo Quyết định số 2285/QĐ-BTC ngày 5 /7/2007 của Bộ trưởng Bộ Tài chính)</w:t>
      </w:r>
      <w:r>
        <w:rPr>
          <w:b w:val="0"/>
          <w:i w:val="0"/>
        </w:rPr>
        <w:br/>
      </w:r>
      <w:r>
        <w:rPr>
          <w:b w:val="0"/>
          <w:i/>
        </w:rPr>
        <w:t xml:space="preserve"> </w:t>
      </w:r>
      <w:r>
        <w:rPr>
          <w:b w:val="0"/>
          <w:i w:val="0"/>
        </w:rPr>
        <w:br/>
      </w:r>
      <w:r>
        <w:rPr>
          <w:b/>
          <w:i w:val="0"/>
        </w:rPr>
        <w:t>Điều 1:</w:t>
      </w:r>
      <w:r>
        <w:rPr>
          <w:b w:val="0"/>
          <w:i w:val="0"/>
        </w:rPr>
        <w:t xml:space="preserve"> Giá xăng thế giới được Cục Quản lý giá thông báo dùng làm căn cứ áp dụng mức thuế suất thuế nhập khẩu ưu đãi đối với mặt hàng xăng và chế phẩm khác thuộc nhóm 2710 tại Biểu thuế nhập khẩu ưu đãi giá xăng RON 92 trên thị trường Singapore do Bản tin PLATT của công ty McGrow-Hill công bố (sau đây gọi tắt là giá xăng RON 92 trên thị trường Singapore).</w:t>
      </w:r>
      <w:r>
        <w:rPr>
          <w:b w:val="0"/>
          <w:i w:val="0"/>
        </w:rPr>
        <w:br/>
      </w:r>
      <w:r>
        <w:rPr>
          <w:b/>
          <w:i w:val="0"/>
        </w:rPr>
        <w:t xml:space="preserve">Điều 2: </w:t>
      </w:r>
      <w:r>
        <w:rPr>
          <w:b w:val="0"/>
          <w:i w:val="0"/>
        </w:rPr>
        <w:t>Bắt đầu từ ngày giá xăng RON 92 trên thị trường Singapore do Bản tin PLATT công bố có biến động tăng hoặc giảm, nếu trong 10 ngày liên tục ( ngày Bản tin PLATT có thông báo giá và tính theo ngày làm việc được quy định đối với cơ quan hành chính Nhà nước Việt Nam) giá xăng thể hiện rõ xu thế tăng hoặc giảm trong khoảng 2 ngày cuối làm cho mức giá xăng bình quân số học của 10 ngày đó thay đổi từ khung giá này sang khung giá khác của Danh mục xăng và các chế phẩm khác quy định tại Điều 1 Quyết định số 40/2007/QĐ-BTC ngày 31/5/2007 của Bộ trưởng Bộ Tài chính Cục Quản lý giá chủ trì bàn với Vụ Chính sách Thuế để báo cáo nhanh Lãnh đạo Bộ Tài chính mức giá xăng RON 92 trên thị trường Singapore dự kiến sẽ được Thông báo làm căn cứ để áp dụng mức thuế suất thuế nhập khẩu đối với xăng và các chế phẩm khác.</w:t>
      </w:r>
      <w:r>
        <w:rPr>
          <w:b w:val="0"/>
          <w:i w:val="0"/>
        </w:rPr>
        <w:br/>
      </w:r>
      <w:r>
        <w:rPr>
          <w:b/>
          <w:i w:val="0"/>
        </w:rPr>
        <w:t>Điều 3:</w:t>
      </w:r>
      <w:r>
        <w:rPr>
          <w:b w:val="0"/>
          <w:i w:val="0"/>
        </w:rPr>
        <w:t xml:space="preserve"> Sau khi được Lãnh đạo Bộ Tài chính đồng ý (trong thời gian</w:t>
      </w:r>
      <w:r>
        <w:rPr>
          <w:b w:val="0"/>
          <w:i w:val="0"/>
        </w:rPr>
        <w:t>1</w:t>
      </w:r>
      <w:r>
        <w:rPr>
          <w:b w:val="0"/>
          <w:i w:val="0"/>
        </w:rPr>
        <w:t>/</w:t>
      </w:r>
      <w:r>
        <w:rPr>
          <w:b w:val="0"/>
          <w:i w:val="0"/>
        </w:rPr>
        <w:t>2</w:t>
      </w:r>
      <w:r>
        <w:rPr>
          <w:b w:val="0"/>
          <w:i w:val="0"/>
        </w:rPr>
        <w:t xml:space="preserve"> ngày), Cục trưởng Cục Quản lý giá có trách nhiệm ký Thừa lệnh Bộ trưởng Bộ Tài chính Thông báo mức giá xăng RON 92 được quy định tại Điều 1, Điều 2 trên đây.</w:t>
      </w:r>
      <w:r>
        <w:rPr>
          <w:b w:val="0"/>
          <w:i w:val="0"/>
        </w:rPr>
        <w:br/>
      </w:r>
      <w:r>
        <w:rPr>
          <w:b/>
          <w:i w:val="0"/>
        </w:rPr>
        <w:t>Điều 4:</w:t>
      </w:r>
      <w:r>
        <w:rPr>
          <w:b w:val="0"/>
          <w:i w:val="0"/>
        </w:rPr>
        <w:t xml:space="preserve"> Mức giá xăng do Cục trưởng Cục Quản lý giá Thông báo làm căn cứ để áp dụng mức thuế suất, thuế nhập khẩu đối với mặt hàng xăng và chế phẩm khác được ký trong giờ làm việc hành chính và áp dụng ngay sau ngày ký Thông báo.</w:t>
      </w:r>
      <w:r>
        <w:rPr>
          <w:b w:val="0"/>
          <w:i w:val="0"/>
        </w:rPr>
        <w:br/>
      </w:r>
      <w:r>
        <w:rPr>
          <w:b/>
          <w:i w:val="0"/>
        </w:rPr>
        <w:t>Điều 5: Trách nhiệm của các đơn vị liên quan thuộc Bộ Tài chính:</w:t>
      </w:r>
      <w:r>
        <w:rPr>
          <w:b w:val="0"/>
          <w:i w:val="0"/>
        </w:rPr>
        <w:br/>
      </w:r>
      <w:r>
        <w:rPr>
          <w:b w:val="0"/>
          <w:i w:val="0"/>
        </w:rPr>
        <w:t>- Cục Quản lý giá có trách nhiệm chuyển file Thông báo nêu trên đến Cục Tin học và Thống kê Tài chính qua địa chỉ email: tin@mof.gov.vn và gửi Thông báo chính thức bằng đường công văn hoả tốc đến Tổng cục Hải quan và đến các đơn vị có trách nhiệm liên quan, các doanh nghiệp đầu mối kinh doanh xăng dầu sau 30 phút kể từ khi ký Thông báo mức giá xăng RON92 trên thị trường Singapore.</w:t>
      </w:r>
      <w:r>
        <w:rPr>
          <w:b w:val="0"/>
          <w:i w:val="0"/>
        </w:rPr>
        <w:br/>
      </w:r>
      <w:r>
        <w:rPr>
          <w:b w:val="0"/>
          <w:i w:val="0"/>
        </w:rPr>
        <w:t>- Cục Tin hoc và Thống kê Tài chính chịu trách nhiệm truyền ngay file Thông báo mức giá xăng RON 92 trên thị truờng Singapore đến Tổng cục Hải quan và đưa lên mạng của Bộ Tài chính chậm nhất 30 phút kể từ khi Cục Tin học và Thống kê Tài chính nhận được file Thông báo mức giá xăng RON 92 trên thị trường Singapore do Cục Quản lý giá chuyển đến.</w:t>
      </w:r>
      <w:r>
        <w:rPr>
          <w:b w:val="0"/>
          <w:i w:val="0"/>
        </w:rPr>
        <w:br/>
      </w:r>
      <w:r>
        <w:rPr>
          <w:b w:val="0"/>
          <w:i w:val="0"/>
        </w:rPr>
        <w:t>- Tổng cục Hải quan có trách nhiệm truyền ngay file sau 30 phút kể từ khi nhận được file “Thông báo mức giá xăng RON 92 trên thị trường Singapore” của Cục Quản lý giá đến Cục Hải quan các địa phương áp dụng mức thuế suất, thuế nhập khẩu ưu đãi đối với mặt hàng xăng và chế phẩm khác thuộc nhóm 2710 được ban hành tại Quyết định 40/2007/QĐ-BTC ngày 31/5/2007 của Bộ trưởng Bộ Tài chính tương ứng với mức giá xăng RON 92 do Cục Quản lý giá thông báo./.</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br/>
            </w:r>
            <w:r>
              <w:br/>
            </w:r>
            <w:r>
              <w:br/>
            </w:r>
            <w:r>
              <w:br/>
            </w:r>
            <w:r>
              <w:br/>
            </w:r>
            <w:r>
              <w:rPr>
                <w:b/>
                <w:i w:val="0"/>
              </w:rPr>
              <w:br/>
              <w:t xml:space="preserve">           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