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2295/2006/QĐ-UBND Về việc Ban hành Quy định đơn giá vận chuyển ngang trong công trường xây dựng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2295/2006/QĐ-UBND</w:t>
      </w:r>
      <w:r>
        <w:rPr>
          <w:b w:val="0"/>
          <w:i w:val="0"/>
        </w:rPr>
        <w:br/>
      </w:r>
      <w:r>
        <w:rPr>
          <w:b w:val="0"/>
          <w:i w:val="0"/>
        </w:rPr>
        <w:br/>
      </w:r>
      <w:r>
        <w:rPr>
          <w:b w:val="0"/>
          <w:i/>
        </w:rPr>
        <w:br/>
      </w:r>
      <w:r>
        <w:rPr>
          <w:b w:val="0"/>
          <w:i/>
        </w:rPr>
        <w:t>Bến Tre, ngày 15 tháng 11 năm 2006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2295/2006/QĐ-UBND</w:t>
      </w:r>
      <w:r>
        <w:rPr>
          <w:b w:val="0"/>
          <w:i w:val="0"/>
        </w:rPr>
        <w:br/>
      </w:r>
      <w:r>
        <w:rPr>
          <w:b w:val="0"/>
          <w:i w:val="0"/>
        </w:rPr>
        <w:br/>
      </w:r>
      <w:r>
        <w:rPr>
          <w:b w:val="0"/>
          <w:i/>
        </w:rPr>
        <w:br/>
      </w:r>
      <w:r>
        <w:rPr>
          <w:b w:val="0"/>
          <w:i/>
        </w:rPr>
        <w:t>Bến Tre, ngày 15 tháng 11 năm 2006</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BẾN TRE</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BẾN TRE</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2295/2006/QĐ-UBND</w:t>
      </w:r>
      <w:r>
        <w:rPr>
          <w:b w:val="0"/>
          <w:i w:val="0"/>
        </w:rPr>
        <w:br/>
      </w:r>
      <w:r>
        <w:rPr>
          <w:b w:val="0"/>
          <w:i w:val="0"/>
        </w:rPr>
        <w:br/>
      </w:r>
      <w:r>
        <w:rPr>
          <w:b w:val="0"/>
          <w:i/>
        </w:rPr>
        <w:br/>
      </w:r>
      <w:r>
        <w:rPr>
          <w:b w:val="0"/>
          <w:i/>
        </w:rPr>
        <w:t>Bến Tre, ngày 15 tháng 11 năm 2006</w:t>
      </w:r>
      <w:r>
        <w:rPr>
          <w:b w:val="0"/>
          <w:i/>
        </w:rPr>
        <w:br/>
      </w:r>
      <w:r>
        <w:rPr>
          <w:b w:val="0"/>
          <w:i w:val="0"/>
        </w:rPr>
        <w:br/>
      </w:r>
    </w:p>
    <w:p>
      <w:pPr>
        <w:jc w:val="center"/>
      </w:pPr>
      <w:r>
        <w:rPr>
          <w:b w:val="0"/>
          <w:i w:val="0"/>
        </w:rPr>
        <w:br/>
      </w:r>
      <w:r>
        <w:rPr>
          <w:b w:val="0"/>
          <w:i w:val="0"/>
        </w:rPr>
        <w:t>Số: 2295/2006/QĐ-UBND</w:t>
      </w:r>
      <w:r>
        <w:rPr>
          <w:b w:val="0"/>
          <w:i w:val="0"/>
        </w:rPr>
        <w:br/>
      </w:r>
    </w:p>
    <w:p>
      <w:pPr>
        <w:jc w:val="center"/>
      </w:pPr>
      <w:r>
        <w:rPr>
          <w:b w:val="0"/>
          <w:i w:val="0"/>
        </w:rPr>
        <w:br/>
      </w:r>
      <w:r>
        <w:rPr>
          <w:b w:val="0"/>
          <w:i w:val="0"/>
        </w:rPr>
        <w:t>Bến Tre, ngày 15 tháng 11 năm 2006</w:t>
      </w:r>
      <w:r>
        <w:rPr>
          <w:b w:val="0"/>
          <w:i w:val="0"/>
        </w:rPr>
        <w:br/>
      </w:r>
    </w:p>
    <w:p>
      <w:r>
        <w:rPr>
          <w:b/>
          <w:i w:val="0"/>
        </w:rPr>
        <w:t>QUYẾT ĐỊNH</w:t>
      </w:r>
    </w:p>
    <w:p>
      <w:r>
        <w:rPr>
          <w:b/>
          <w:i w:val="0"/>
        </w:rPr>
        <w:t xml:space="preserve">Về việc Ban hành Quy định đơn giá </w:t>
      </w:r>
      <w:r>
        <w:rPr>
          <w:b/>
          <w:i w:val="0"/>
        </w:rPr>
        <w:t xml:space="preserve">vận chuyển ngang </w:t>
      </w:r>
    </w:p>
    <w:p>
      <w:r>
        <w:rPr>
          <w:b/>
          <w:i w:val="0"/>
        </w:rPr>
        <w:t>trong công trường xây dựng</w:t>
      </w:r>
    </w:p>
    <w:p>
      <w:r>
        <w:rPr>
          <w:b/>
          <w:i w:val="0"/>
        </w:rPr>
        <w:t>___________________</w:t>
      </w:r>
    </w:p>
    <w:p>
      <w:r>
        <w:rPr>
          <w:b w:val="0"/>
          <w:i w:val="0"/>
        </w:rPr>
        <w:t>ỦY BAN NHÂN DÂN TỈNH</w:t>
      </w:r>
    </w:p>
    <w:p>
      <w:pPr>
        <w:jc w:val="both"/>
      </w:pPr>
      <w:r>
        <w:rPr>
          <w:b w:val="0"/>
          <w:i/>
        </w:rPr>
        <w:t>Căn cứ Luật Tổ chức Hội đồng nhân dân và Ủy ban nhân dân ngày 26/11/2003;</w:t>
      </w:r>
    </w:p>
    <w:p>
      <w:pPr>
        <w:jc w:val="both"/>
      </w:pPr>
      <w:r>
        <w:rPr>
          <w:b w:val="0"/>
          <w:i/>
        </w:rPr>
        <w:t>Căn cứ Luật Xây dựng ngày 20/11/2003;</w:t>
      </w:r>
    </w:p>
    <w:p>
      <w:pPr>
        <w:jc w:val="both"/>
      </w:pPr>
      <w:r>
        <w:rPr>
          <w:b w:val="0"/>
          <w:i/>
        </w:rPr>
        <w:t>Căn cứ Nghị định số 16/2005/NĐ-CP ngày 07/02/2005  của Chính phủ về việc quản lý dự án đầu tư xây dựng công trình;</w:t>
      </w:r>
    </w:p>
    <w:p>
      <w:pPr>
        <w:jc w:val="both"/>
      </w:pPr>
      <w:r>
        <w:rPr>
          <w:b w:val="0"/>
          <w:i/>
        </w:rPr>
        <w:t>Căn cứ Quyết định số 29/2000/QĐ-BXD ngày 25/12/2000 của Bộ Xây dựng về việc ban hành Định mức dự toán công tác sửa chữa trong xây dựng cơ bản;</w:t>
      </w:r>
    </w:p>
    <w:p>
      <w:pPr>
        <w:jc w:val="both"/>
      </w:pPr>
      <w:r>
        <w:rPr>
          <w:b w:val="0"/>
          <w:i/>
        </w:rPr>
        <w:t>Căn cứ Nghị định số 205/2004/NĐ-CP ngày 14/12/2004 của Chính phủ Quy định hệ thống thang lương, bảng lương và chế độ phụ cấp lương trong các công ty Nhà nước;</w:t>
      </w:r>
    </w:p>
    <w:p>
      <w:pPr>
        <w:jc w:val="both"/>
      </w:pPr>
      <w:r>
        <w:rPr>
          <w:b w:val="0"/>
          <w:i/>
        </w:rPr>
        <w:t>Căn cứ Nghị định số 118/2005/NĐ-CP ngày 15/9/2005 của Chính phủ điều chỉnh mức lương tối thiểu chung;</w:t>
      </w:r>
    </w:p>
    <w:p>
      <w:pPr>
        <w:jc w:val="both"/>
      </w:pPr>
      <w:r>
        <w:rPr>
          <w:b w:val="0"/>
          <w:i/>
        </w:rPr>
        <w:t>Căn cứ Quyết định số 1661/2006/QĐ-UBND ngày 18/7/2006 của Ủy ban nhân dân tỉnh Bến Tre Về việc Ban hành Bảng giá dự toán ca máy và thiết bị xây dựng trên địa bàn tỉnh Bến Tre;</w:t>
      </w:r>
    </w:p>
    <w:p>
      <w:pPr>
        <w:jc w:val="both"/>
      </w:pPr>
      <w:r>
        <w:rPr>
          <w:b w:val="0"/>
          <w:i/>
        </w:rPr>
        <w:t>Theo đề nghị của Giám đốc Sở Xây dựng tại Tờ trình số 54 /TTr-SXD ngày 10/11/2006,</w:t>
      </w:r>
    </w:p>
    <w:p>
      <w:r>
        <w:rPr>
          <w:b/>
          <w:i w:val="0"/>
        </w:rPr>
        <w:t>QUYẾT ĐỊNH:</w:t>
      </w:r>
    </w:p>
    <w:p>
      <w:pPr>
        <w:jc w:val="both"/>
      </w:pPr>
      <w:r>
        <w:rPr>
          <w:b/>
          <w:i w:val="0"/>
        </w:rPr>
        <w:t xml:space="preserve">Điều 1. </w:t>
      </w:r>
      <w:r>
        <w:rPr>
          <w:b w:val="0"/>
          <w:i w:val="0"/>
        </w:rPr>
        <w:t>Ban hành kèm theo Quyết định này Quy định đơn giá vận chuyển ngang trong công trường xây dựng.</w:t>
      </w:r>
    </w:p>
    <w:p>
      <w:pPr>
        <w:jc w:val="both"/>
      </w:pPr>
      <w:r>
        <w:rPr>
          <w:b w:val="0"/>
          <w:i w:val="0"/>
        </w:rPr>
        <w:t>Đơn giá này là cơ sở để lập dự toán và thanh toán các khối lượng xây lắp hoàn thành trong xây dựng công trình.</w:t>
      </w:r>
    </w:p>
    <w:p>
      <w:pPr>
        <w:jc w:val="both"/>
      </w:pPr>
      <w:r>
        <w:rPr>
          <w:b/>
          <w:i w:val="0"/>
        </w:rPr>
        <w:t xml:space="preserve">Điều 2. </w:t>
      </w:r>
      <w:r>
        <w:rPr>
          <w:b w:val="0"/>
          <w:i w:val="0"/>
        </w:rPr>
        <w:t>Giao Sở Xây dựng chủ trì phối hợp với Sở Tài chính, Sở Kế hoạch và Đầu tư; các Sở, Ban, ngành có liên quan chịu trách nhiệm hướng dẫn và kiểm tra việc thi hành đơn giá vận chuyển ngang trong công trường xây dựng kèm theo Quyết định này.</w:t>
      </w:r>
    </w:p>
    <w:p>
      <w:pPr>
        <w:jc w:val="both"/>
      </w:pPr>
      <w:r>
        <w:rPr>
          <w:b/>
          <w:i w:val="0"/>
        </w:rPr>
        <w:t xml:space="preserve">Điều 3. </w:t>
      </w:r>
      <w:r>
        <w:rPr>
          <w:b w:val="0"/>
          <w:i w:val="0"/>
        </w:rPr>
        <w:t>Các Ông (Bà) Chánh Văn phòng Ủy ban nhân dân tỉnh; Giám đốc các Sở: Xây dựng, Kế hoạch và Đầu tư, Tài chính; Kho bạc Nhà nước tỉnh; Chủ tịch Ủy ban nhân dân các huyện, thị xã; Thủ trưởng các cơ quan, các tổ chức và cá nhân có liên quan chịu trách nhiệm thi hành Quyết định này.</w:t>
      </w:r>
    </w:p>
    <w:p>
      <w:pPr>
        <w:jc w:val="both"/>
      </w:pPr>
      <w:r>
        <w:rPr>
          <w:b w:val="0"/>
          <w:i w:val="0"/>
        </w:rPr>
        <w:t>Quyết định này có hiệu lực thi hành sau 10 ngày kể từ ngày ký. Các văn bản trước đây trái với Quyết định này đều bãi bỏ./.</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Thị Thanh Hà</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Thị Thanh Hà</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Thị Thanh Hà</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Thị Thanh Hà</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