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22/2000/QĐ-BCN Về việc chuyển Xí nghiệp Vận tải và đưa đón thợ mỏ là đơn vị trực thuộc Tổng Công ty Than Việt Nam về trực thuộc Công ty Vật tư vận tải và xếp dỡ</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22/2000/QĐ-BCN</w:t>
        <w:br/>
        <w:t xml:space="preserve">     </w:t>
      </w:r>
      <w:r>
        <w:rPr>
          <w:b w:val="0"/>
          <w:i w:val="0"/>
        </w:rPr>
        <w:br/>
      </w:r>
      <w:r>
        <w:rPr>
          <w:b w:val="0"/>
          <w:i/>
        </w:rPr>
        <w:br/>
        <w:t xml:space="preserve">      Hà Nội, ngày 05 tháng 04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22/2000/QĐ-BCN</w:t>
        <w:br/>
        <w:t xml:space="preserve">     </w:t>
      </w:r>
      <w:r>
        <w:rPr>
          <w:b w:val="0"/>
          <w:i w:val="0"/>
        </w:rPr>
        <w:br/>
      </w:r>
      <w:r>
        <w:rPr>
          <w:b w:val="0"/>
          <w:i/>
        </w:rPr>
        <w:br/>
        <w:t xml:space="preserve">      Hà Nội, ngày 05 tháng 04 năm 2000</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22/2000/QĐ-BCN</w:t>
        <w:br/>
        <w:t xml:space="preserve">     </w:t>
      </w:r>
      <w:r>
        <w:rPr>
          <w:b w:val="0"/>
          <w:i w:val="0"/>
        </w:rPr>
        <w:br/>
      </w:r>
      <w:r>
        <w:rPr>
          <w:b w:val="0"/>
          <w:i/>
        </w:rPr>
        <w:br/>
        <w:t xml:space="preserve">      Hà Nội, ngày 05 tháng 04 năm 2000</w:t>
        <w:br/>
        <w:t xml:space="preserve">     </w:t>
      </w:r>
      <w:r>
        <w:rPr>
          <w:b w:val="0"/>
          <w:i w:val="0"/>
        </w:rPr>
        <w:br/>
      </w:r>
    </w:p>
    <w:p>
      <w:pPr>
        <w:jc w:val="center"/>
      </w:pPr>
      <w:r>
        <w:rPr>
          <w:b w:val="0"/>
          <w:i w:val="0"/>
        </w:rPr>
        <w:br/>
        <w:t xml:space="preserve">      Số: 22/2000/QĐ-BCN</w:t>
        <w:br/>
        <w:t xml:space="preserve">     </w:t>
      </w:r>
    </w:p>
    <w:p>
      <w:pPr>
        <w:jc w:val="center"/>
      </w:pPr>
      <w:r>
        <w:rPr>
          <w:b w:val="0"/>
          <w:i w:val="0"/>
        </w:rPr>
        <w:br/>
        <w:t xml:space="preserve">      Hà Nội, ngày 05 tháng 04 năm 2000</w:t>
        <w:br/>
        <w:t xml:space="preserve">     </w:t>
      </w:r>
    </w:p>
    <w:p>
      <w:r>
        <w:rPr>
          <w:b/>
          <w:i w:val="0"/>
        </w:rPr>
        <w:t xml:space="preserve">QUYẾT ĐỊNH </w:t>
      </w:r>
    </w:p>
    <w:p>
      <w:r>
        <w:rPr>
          <w:b/>
          <w:i w:val="0"/>
        </w:rPr>
        <w:t xml:space="preserve">Về việc chuyển Xí nghiệp Vận tải và đưa đón thợ mỏ là đơn vị trực thuộc </w:t>
      </w:r>
    </w:p>
    <w:p>
      <w:r>
        <w:rPr>
          <w:b/>
          <w:i w:val="0"/>
        </w:rPr>
        <w:t>Tổng Công ty Than Việt Nam về trực thuộc Công ty Vật tư vận tải và xếp dỡ</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Nghị định số 50/CP ngày 28 tháng 8 năm 1996 của Chính phủ về việc thành lập, tổ chức lại, giải thể và phá sản doanh nghiệp nhà nước;</w:t>
      </w:r>
    </w:p>
    <w:p>
      <w:r>
        <w:rPr>
          <w:b w:val="0"/>
          <w:i/>
        </w:rPr>
        <w:t xml:space="preserve"> Căn cứ ý kiến của Thủ tướng Chính phủ tại Công văn số 14/CP-ĐMDN ngày 02 tháng 02 năm 2000, giao Bộ trưởng Bộ Công nghiệp chủ trì phối hợp các Bộ, ngành liên quan chỉ đạo việc tổ chức lại hoặc chuyển đổi các đơn vị thành viên của Tổng Công ty Than Việt Nam;</w:t>
      </w:r>
    </w:p>
    <w:p>
      <w:r>
        <w:rPr>
          <w:b w:val="0"/>
          <w:i/>
        </w:rPr>
        <w:t>Theo đề nghị của Hội đồng quản trị Tổng Công ty Than Việt Nam (tờ trình số 387CV/HĐQT ngày 17 tháng 11 năm 1999) và Vụ trưởng Vụ Tổ chức - Cán bộ,</w:t>
      </w:r>
    </w:p>
    <w:p>
      <w:r>
        <w:rPr>
          <w:b/>
          <w:i w:val="0"/>
        </w:rPr>
        <w:t>QUYẾT ĐỊNH</w:t>
      </w:r>
    </w:p>
    <w:p>
      <w:r>
        <w:rPr>
          <w:b/>
          <w:i w:val="0"/>
        </w:rPr>
        <w:t xml:space="preserve">Điều 1. </w:t>
      </w:r>
      <w:r>
        <w:rPr>
          <w:b w:val="0"/>
          <w:i w:val="0"/>
        </w:rPr>
        <w:t>Chuyển Xí nghiệp Vận tải và đưa đón thợ mỏ là doanh nghiệp thành viên hạch toán phụ thuộc của Tổng Công ty Than Việt Nam về làm đơn vị trực thuộc Công ty Vật tư vận tải và xếp dỡ là doanh nghiệp thành viên hạch toán độc lập của Tổng Công ty.</w:t>
      </w:r>
    </w:p>
    <w:p>
      <w:r>
        <w:rPr>
          <w:b w:val="0"/>
          <w:i w:val="0"/>
        </w:rPr>
        <w:t>Xí nghiệp Vận tải và đưa đón thợ mỏ là đơn vị hạch toán phụ thuộc của Công ty Vật tư vận tải và xếp dỡ, có tài khoản tại ngân hàng, có con dấu để giao dịch theo quy định của pháp luật.</w:t>
      </w:r>
    </w:p>
    <w:p>
      <w:r>
        <w:rPr>
          <w:b w:val="0"/>
          <w:i w:val="0"/>
        </w:rPr>
        <w:t>-Trụ sở chính đặt tại : Phường Cẩm Đông, thị xã Cẩm Phả, tỉnh Quảng Ninh.</w:t>
      </w:r>
    </w:p>
    <w:p>
      <w:r>
        <w:rPr>
          <w:b w:val="0"/>
          <w:i w:val="0"/>
        </w:rPr>
        <w:t>Điều 2. Ngành nghề kinh doanh:</w:t>
      </w:r>
    </w:p>
    <w:p>
      <w:r>
        <w:rPr>
          <w:b w:val="0"/>
          <w:i w:val="0"/>
        </w:rPr>
        <w:t>- Đưa đón cán bộ công nhân viên;</w:t>
      </w:r>
    </w:p>
    <w:p>
      <w:r>
        <w:rPr>
          <w:b w:val="0"/>
          <w:i w:val="0"/>
        </w:rPr>
        <w:t>- Vận tải than, đất đá và hàng hoá khác;</w:t>
      </w:r>
    </w:p>
    <w:p>
      <w:r>
        <w:rPr>
          <w:b w:val="0"/>
          <w:i w:val="0"/>
        </w:rPr>
        <w:t xml:space="preserve"> - Sửa chữa ô tô và gia công cơ khí;</w:t>
      </w:r>
    </w:p>
    <w:p>
      <w:r>
        <w:rPr>
          <w:b w:val="0"/>
          <w:i w:val="0"/>
        </w:rPr>
        <w:t xml:space="preserve"> - Khai thác, chế biến than.</w:t>
      </w:r>
    </w:p>
    <w:p>
      <w:r>
        <w:rPr>
          <w:b/>
          <w:i w:val="0"/>
        </w:rPr>
        <w:t xml:space="preserve">Điều 3. </w:t>
      </w:r>
      <w:r>
        <w:rPr>
          <w:b w:val="0"/>
          <w:i w:val="0"/>
        </w:rPr>
        <w:t>Tổng giám đốc Tổng Công ty Than Việt Nam có trách nhiệm chỉ đạo thực hiện việc chuyển giao trên theo đúng quy định hiện hành của Nhà nước.</w:t>
      </w:r>
    </w:p>
    <w:p>
      <w:r>
        <w:rPr>
          <w:b/>
          <w:i w:val="0"/>
        </w:rPr>
        <w:t xml:space="preserve">Điều 4. </w:t>
      </w:r>
      <w:r>
        <w:rPr>
          <w:b w:val="0"/>
          <w:i w:val="0"/>
        </w:rPr>
        <w:t>Quyết định này có hiệu lực thi hành sau 15 ngày kể từ ngày ký. Các văn bản trước đây trái với Quyết định này đều bãi bỏ.</w:t>
      </w:r>
    </w:p>
    <w:p>
      <w:r>
        <w:rPr>
          <w:b w:val="0"/>
          <w:i w:val="0"/>
        </w:rPr>
        <w:t>Chánh Văn phòng Bộ, Chánh Thanh tra Bộ, các Vụ trưởng, Cục trưởng, Chủ tịch Hội đồng quản trị và Tổng giám đốc Tổng Công ty Than Việt Nam, Giám đốc Xí nghiệp Vận tải và đưa đón thợ mỏ, Giám đốc Công ty Vật tư vận tải và xếp dỡ chịu trách nhiệm thi hành Quyết định này./.</w:t>
      </w:r>
    </w:p>
    <w:p>
      <w:r>
        <w:rPr>
          <w:b w:val="0"/>
          <w:i w:val="0"/>
        </w:rPr>
        <w:br/>
      </w:r>
      <w:r>
        <w:rPr>
          <w:b w:val="0"/>
          <w:i w:val="0"/>
        </w:rPr>
        <w:br/>
      </w:r>
      <w:r>
        <w:rPr>
          <w:b/>
          <w:i w:val="0"/>
        </w:rPr>
        <w:br/>
      </w:r>
      <w:r>
        <w:rPr>
          <w:b/>
          <w:i w:val="0"/>
        </w:rPr>
        <w:br/>
        <w:t xml:space="preserve">      BỘ TRƯỞNG Bộ công nghiệp</w:t>
        <w:br/>
        <w:t xml:space="preserve">     </w:t>
      </w:r>
      <w:r>
        <w:rPr>
          <w:b/>
          <w:i w:val="0"/>
        </w:rPr>
        <w:br/>
      </w:r>
      <w:r>
        <w:rPr>
          <w:b/>
          <w:i/>
        </w:rPr>
        <w:br/>
        <w:t xml:space="preserve">      (đã ký)</w:t>
        <w:br/>
        <w:t xml:space="preserve">     </w:t>
      </w:r>
      <w:r>
        <w:rPr>
          <w:b/>
          <w:i w:val="0"/>
        </w:rPr>
        <w:br/>
      </w:r>
      <w:r>
        <w:rPr>
          <w:b/>
          <w:i w:val="0"/>
        </w:rPr>
        <w:br/>
        <w:t xml:space="preserve">      Đặng Vũ Chư</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 Bộ công nghiệp</w:t>
        <w:br/>
        <w:t xml:space="preserve">     </w:t>
      </w:r>
      <w:r>
        <w:rPr>
          <w:b/>
          <w:i w:val="0"/>
        </w:rPr>
        <w:br/>
      </w:r>
      <w:r>
        <w:rPr>
          <w:b/>
          <w:i/>
        </w:rPr>
        <w:br/>
        <w:t xml:space="preserve">      (đã ký)</w:t>
        <w:br/>
        <w:t xml:space="preserve">     </w:t>
      </w:r>
      <w:r>
        <w:rPr>
          <w:b/>
          <w:i w:val="0"/>
        </w:rPr>
        <w:br/>
      </w:r>
      <w:r>
        <w:rPr>
          <w:b/>
          <w:i w:val="0"/>
        </w:rPr>
        <w:br/>
        <w:t xml:space="preserve">      Đặng Vũ Chư</w:t>
        <w:br/>
        <w:t xml:space="preserve">     </w:t>
      </w:r>
      <w:r>
        <w:rPr>
          <w:b/>
          <w:i w:val="0"/>
        </w:rPr>
        <w:br/>
      </w:r>
      <w:r>
        <w:rPr>
          <w:b w:val="0"/>
          <w:i w:val="0"/>
        </w:rPr>
        <w:br/>
      </w:r>
    </w:p>
    <w:p>
      <w:pPr>
        <w:jc w:val="center"/>
      </w:pPr>
      <w:r>
        <w:rPr>
          <w:b w:val="0"/>
          <w:i w:val="0"/>
        </w:rPr>
        <w:br/>
      </w:r>
      <w:r>
        <w:rPr>
          <w:b/>
          <w:i w:val="0"/>
        </w:rPr>
        <w:br/>
        <w:t xml:space="preserve">      BỘ TRƯỞNG Bộ công nghiệp</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r>
        <w:rPr>
          <w:b w:val="0"/>
          <w:i w:val="0"/>
        </w:rPr>
        <w:br/>
      </w:r>
    </w:p>
    <w:p>
      <w:r>
        <w:rPr>
          <w:b w:val="0"/>
          <w:i w:val="0"/>
        </w:rPr>
        <w:br/>
        <w:t xml:space="preserve">      BỘ TRƯỞNG Bộ công nghiệp</w:t>
        <w:br/>
        <w:t xml:space="preserve">     </w:t>
      </w:r>
    </w:p>
    <w:p>
      <w:r>
        <w:rPr>
          <w:b w:val="0"/>
          <w:i w:val="0"/>
        </w:rPr>
        <w:br/>
        <w:t xml:space="preserve">      (đã ký)</w:t>
        <w:br/>
        <w:t xml:space="preserve">     </w:t>
      </w:r>
    </w:p>
    <w:p>
      <w:r>
        <w:rPr>
          <w:b w:val="0"/>
          <w:i w:val="0"/>
        </w:rPr>
        <w:br/>
        <w:t xml:space="preserve">      Đặng Vũ Chư</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