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2369/1997/QĐ-UB Quy định tạm thời về phí vệ sinh môi trường trên địa bàn thành phố Vinh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2369/1997/QĐ-UB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15 tháng 6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2369/1997/QĐ-UB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15 tháng 6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2369/1997/QĐ-UB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Nghệ An, ngày 15 tháng 6 năm 1997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UỶ BAN NHÂN DÂN TỈNH NGHỆ AN</w:t>
      </w:r>
    </w:p>
    <w:p>
      <w:r>
        <w:rPr>
          <w:b/>
          <w:i w:val="0"/>
        </w:rPr>
        <w:t>Quy định tạm thời về phí vệ sinh môi trường trên địa bàn thành phố Vinh</w:t>
      </w:r>
    </w:p>
    <w:p>
      <w:r>
        <w:rPr>
          <w:b/>
          <w:i w:val="0"/>
        </w:rPr>
        <w:t>__________________________________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ỦY BAN NHÂN DÂN TỈNH NGHỆ AN</w:t>
      </w:r>
    </w:p>
    <w:p>
      <w:r>
        <w:rPr>
          <w:b w:val="0"/>
          <w:i w:val="0"/>
        </w:rPr>
        <w:t>Căn cứ Luật tổ chức HĐND và UBND các cấp (sửa đổi) được Quốc hội thông qua ngày 21/6/1994;</w:t>
      </w:r>
    </w:p>
    <w:p>
      <w:r>
        <w:rPr>
          <w:b w:val="0"/>
          <w:i w:val="0"/>
        </w:rPr>
        <w:t>Căn cứ Luật Ngân sách ngày 20/3/1996;</w:t>
      </w:r>
    </w:p>
    <w:p>
      <w:r>
        <w:rPr>
          <w:b w:val="0"/>
          <w:i w:val="0"/>
        </w:rPr>
        <w:t>Xét đề nghị của UBND thành phố Vinh (tờ trình 64 ngày 03/3/1997) và Sở Tài chính - Vật giá (tờ trình 176/TC-VG ngày 16/5/1997),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Quy định tạm thời mức phí vệ sinh môi trường trên địa bàn thành phố Vinh như sau:</w:t>
      </w:r>
    </w:p>
    <w:p>
      <w:r>
        <w:rPr>
          <w:b w:val="0"/>
          <w:i w:val="0"/>
        </w:rPr>
        <w:t>1. Các hộ gia đình ở các mặt đường được xếp loại (phân loại đường theo quyết định 1766/QĐ-UB ngày 08/6/1996 của UBND tỉnh "Về việc ban hành bảng giá các loại đất trên địa bàn thành phố Vinh").</w:t>
      </w:r>
    </w:p>
    <w:p>
      <w:r>
        <w:rPr>
          <w:b w:val="0"/>
          <w:i w:val="0"/>
        </w:rPr>
        <w:t xml:space="preserve">a. Đường loại 1: </w:t>
      </w:r>
    </w:p>
    <w:p>
      <w:r>
        <w:rPr>
          <w:b w:val="0"/>
          <w:i w:val="0"/>
        </w:rPr>
        <w:t>- Hộ kinh doanh: 10.000đ/tháng.</w:t>
      </w:r>
    </w:p>
    <w:p>
      <w:r>
        <w:rPr>
          <w:b w:val="0"/>
          <w:i w:val="0"/>
        </w:rPr>
        <w:t>- Hộ không kinh doanh: 5.000đ/tháng</w:t>
      </w:r>
    </w:p>
    <w:p>
      <w:r>
        <w:rPr>
          <w:b w:val="0"/>
          <w:i w:val="0"/>
        </w:rPr>
        <w:t xml:space="preserve">b. Đường loại 2: </w:t>
      </w:r>
    </w:p>
    <w:p>
      <w:r>
        <w:rPr>
          <w:b w:val="0"/>
          <w:i w:val="0"/>
        </w:rPr>
        <w:t>- Hộ kinh doanh: 8.000đ/tháng</w:t>
      </w:r>
    </w:p>
    <w:p>
      <w:r>
        <w:rPr>
          <w:b w:val="0"/>
          <w:i w:val="0"/>
        </w:rPr>
        <w:t>- Hộ không kinh doanh: 4.000đ/tháng.</w:t>
      </w:r>
    </w:p>
    <w:p>
      <w:r>
        <w:rPr>
          <w:b w:val="0"/>
          <w:i w:val="0"/>
        </w:rPr>
        <w:t>c. Đường loại 3: .</w:t>
      </w:r>
    </w:p>
    <w:p>
      <w:r>
        <w:rPr>
          <w:b w:val="0"/>
          <w:i w:val="0"/>
        </w:rPr>
        <w:t>- Hộ kinh doanh: 6.000đ/tháng</w:t>
      </w:r>
    </w:p>
    <w:p>
      <w:r>
        <w:rPr>
          <w:b w:val="0"/>
          <w:i w:val="0"/>
        </w:rPr>
        <w:t>- Hộ không kinh doanh: 3.000đ/tháng.</w:t>
      </w:r>
    </w:p>
    <w:p>
      <w:r>
        <w:rPr>
          <w:b w:val="0"/>
          <w:i w:val="0"/>
        </w:rPr>
        <w:t>2. Các hộ gia đình ở trong đường nhỏ, ngõ:</w:t>
      </w:r>
    </w:p>
    <w:p>
      <w:r>
        <w:rPr>
          <w:b w:val="0"/>
          <w:i w:val="0"/>
        </w:rPr>
        <w:t xml:space="preserve">a. Đối với các phường: </w:t>
      </w:r>
    </w:p>
    <w:p>
      <w:r>
        <w:rPr>
          <w:b w:val="0"/>
          <w:i w:val="0"/>
        </w:rPr>
        <w:t>- Đường có mặt đường rộng trên 7m:</w:t>
      </w:r>
    </w:p>
    <w:p>
      <w:r>
        <w:rPr>
          <w:b w:val="0"/>
          <w:i w:val="0"/>
        </w:rPr>
        <w:t>+ Hộ kinh doanh: 4.000đ/tháng</w:t>
      </w:r>
    </w:p>
    <w:p>
      <w:r>
        <w:rPr>
          <w:b w:val="0"/>
          <w:i w:val="0"/>
        </w:rPr>
        <w:t>+ Hộ không kinh doanh: 2.500đ/tháng.</w:t>
      </w:r>
    </w:p>
    <w:p>
      <w:r>
        <w:rPr>
          <w:b w:val="0"/>
          <w:i w:val="0"/>
        </w:rPr>
        <w:t>- Đường có mặt đường rộng 5-7m:</w:t>
      </w:r>
    </w:p>
    <w:p>
      <w:r>
        <w:rPr>
          <w:b w:val="0"/>
          <w:i w:val="0"/>
        </w:rPr>
        <w:t>+ Hộ kinh doanh: 2.500đ/tháng</w:t>
      </w:r>
    </w:p>
    <w:p>
      <w:r>
        <w:rPr>
          <w:b w:val="0"/>
          <w:i w:val="0"/>
        </w:rPr>
        <w:t>+ Hộ không kinh doanh: 1.500đ/tháng.</w:t>
      </w:r>
    </w:p>
    <w:p>
      <w:r>
        <w:rPr>
          <w:b w:val="0"/>
          <w:i w:val="0"/>
        </w:rPr>
        <w:t>- Đường có mặt đường rộng dưới 5m:</w:t>
      </w:r>
    </w:p>
    <w:p>
      <w:r>
        <w:rPr>
          <w:b w:val="0"/>
          <w:i w:val="0"/>
        </w:rPr>
        <w:t>+ Hộ kinh doanh: 1.500đ/tháng</w:t>
      </w:r>
    </w:p>
    <w:p>
      <w:r>
        <w:rPr>
          <w:b w:val="0"/>
          <w:i w:val="0"/>
        </w:rPr>
        <w:t>+ Hộ không kinh doanh: 1.000đ/tháng.</w:t>
      </w:r>
    </w:p>
    <w:p>
      <w:r>
        <w:rPr>
          <w:b w:val="0"/>
          <w:i w:val="0"/>
        </w:rPr>
        <w:t xml:space="preserve">b. Đối với các xã: </w:t>
      </w:r>
    </w:p>
    <w:p>
      <w:r>
        <w:rPr>
          <w:b w:val="0"/>
          <w:i w:val="0"/>
        </w:rPr>
        <w:t>- Đường có mặt đường rộng trên 7m:</w:t>
      </w:r>
    </w:p>
    <w:p>
      <w:r>
        <w:rPr>
          <w:b w:val="0"/>
          <w:i w:val="0"/>
        </w:rPr>
        <w:t>+ Hộ kinh doanh: 2.500đ/tháng</w:t>
      </w:r>
    </w:p>
    <w:p>
      <w:r>
        <w:rPr>
          <w:b w:val="0"/>
          <w:i w:val="0"/>
        </w:rPr>
        <w:t>+ Hộ không kinh doanh: 1.500đ/tháng.</w:t>
      </w:r>
    </w:p>
    <w:p>
      <w:r>
        <w:rPr>
          <w:b w:val="0"/>
          <w:i w:val="0"/>
        </w:rPr>
        <w:t>- Đường có mặt đường rộng từ 5-7m:</w:t>
      </w:r>
    </w:p>
    <w:p>
      <w:r>
        <w:rPr>
          <w:b w:val="0"/>
          <w:i w:val="0"/>
        </w:rPr>
        <w:t>+ Hộ kinh doanh: 1.500đ/tháng</w:t>
      </w:r>
    </w:p>
    <w:p>
      <w:r>
        <w:rPr>
          <w:b w:val="0"/>
          <w:i w:val="0"/>
        </w:rPr>
        <w:t>+ Hộ không kinh doanh: 1.000đ/tháng.</w:t>
      </w:r>
    </w:p>
    <w:p>
      <w:r>
        <w:rPr>
          <w:b w:val="0"/>
          <w:i w:val="0"/>
        </w:rPr>
        <w:t>- Đường có mặt đường rộng dưới 5m: Không thu</w:t>
      </w:r>
    </w:p>
    <w:p>
      <w:r>
        <w:rPr>
          <w:b w:val="0"/>
          <w:i w:val="0"/>
        </w:rPr>
        <w:t xml:space="preserve">3. Đối với hộ gia đình ở khu tập thể, chung cư: </w:t>
      </w:r>
    </w:p>
    <w:p>
      <w:r>
        <w:rPr>
          <w:b w:val="0"/>
          <w:i w:val="0"/>
        </w:rPr>
        <w:t>- Hộ sản xuất kinh doanh: Mức thu tính bằng: 100% theo khu vực và loại đường quy định tại khoản 1 và khoản 2 điều này.</w:t>
      </w:r>
    </w:p>
    <w:p>
      <w:r>
        <w:rPr>
          <w:b w:val="0"/>
          <w:i w:val="0"/>
        </w:rPr>
        <w:t>- Hộ không sản xuất kinh doanh: Mức thu tính bằng 50% theo khu vực và loại đường quy định tại khoản 1 và khoản 2 điều này.</w:t>
      </w:r>
    </w:p>
    <w:p>
      <w:r>
        <w:rPr>
          <w:b w:val="0"/>
          <w:i w:val="0"/>
        </w:rPr>
        <w:t xml:space="preserve">4. Đối với các tổ chức sản xuất kinh doanh dịch vụ: </w:t>
      </w:r>
    </w:p>
    <w:p>
      <w:r>
        <w:rPr>
          <w:b w:val="0"/>
          <w:i w:val="0"/>
        </w:rPr>
        <w:t>- Khách sạn:</w:t>
      </w:r>
    </w:p>
    <w:p>
      <w:r>
        <w:rPr>
          <w:b w:val="0"/>
          <w:i w:val="0"/>
        </w:rPr>
        <w:t>+ Loại có từ 60 giường trở lên: 150.000đ/tháng.</w:t>
      </w:r>
    </w:p>
    <w:p>
      <w:r>
        <w:rPr>
          <w:b w:val="0"/>
          <w:i w:val="0"/>
        </w:rPr>
        <w:t>+ Loại có dưới 60 giường: 100.000đ/tháng.</w:t>
      </w:r>
    </w:p>
    <w:p>
      <w:r>
        <w:rPr>
          <w:b w:val="0"/>
          <w:i w:val="0"/>
        </w:rPr>
        <w:t>- Sản xuất vật liệu xây dựng, chế biến gỗ, than:</w:t>
      </w:r>
    </w:p>
    <w:p>
      <w:r>
        <w:rPr>
          <w:b w:val="0"/>
          <w:i w:val="0"/>
        </w:rPr>
        <w:t>+ Có doanh thu từ 80 triệu đồng/tháng trở lên 120.000đ/tháng.</w:t>
      </w:r>
    </w:p>
    <w:p>
      <w:r>
        <w:rPr>
          <w:b w:val="0"/>
          <w:i w:val="0"/>
        </w:rPr>
        <w:t>+ Có doanh thu từ 50 đến 80 triệu đồng/tháng 80.000đ/tháng.</w:t>
      </w:r>
    </w:p>
    <w:p>
      <w:r>
        <w:rPr>
          <w:b w:val="0"/>
          <w:i w:val="0"/>
        </w:rPr>
        <w:t xml:space="preserve">+ Có doanh thu từ 30 đến 50 triệu đồng/tháng 50.000đ/tháng. </w:t>
      </w:r>
    </w:p>
    <w:p>
      <w:r>
        <w:rPr>
          <w:b w:val="0"/>
          <w:i w:val="0"/>
        </w:rPr>
        <w:t>+ Có doanh thu dưới 30 triệu đồng/tháng 25.000đ/tháng.</w:t>
      </w:r>
    </w:p>
    <w:p>
      <w:r>
        <w:rPr>
          <w:b w:val="0"/>
          <w:i w:val="0"/>
        </w:rPr>
        <w:t>- Nhà hàng ăn uống giải khát:</w:t>
      </w:r>
    </w:p>
    <w:p>
      <w:r>
        <w:rPr>
          <w:b w:val="0"/>
          <w:i w:val="0"/>
        </w:rPr>
        <w:t>+ Có doanh thu từ 80 triệu đồng/tháng trở lên: 150.000đ/tháng.</w:t>
      </w:r>
    </w:p>
    <w:p>
      <w:r>
        <w:rPr>
          <w:b w:val="0"/>
          <w:i w:val="0"/>
        </w:rPr>
        <w:t>+ Có doanh thu từ 50 đến dưới 80 triệu đồng/tháng trở lên: 150.000đ/tháng.</w:t>
      </w:r>
    </w:p>
    <w:p>
      <w:r>
        <w:rPr>
          <w:b w:val="0"/>
          <w:i w:val="0"/>
        </w:rPr>
        <w:t>+ Có doanh thu từ 30 đến dưới 50 triệu đồng/tháng trở lên: 80.000đ/tháng.</w:t>
      </w:r>
    </w:p>
    <w:p>
      <w:r>
        <w:rPr>
          <w:b w:val="0"/>
          <w:i w:val="0"/>
        </w:rPr>
        <w:t>+ Có doanh thu dưới 30 triệu đồng/tháng: 30.000đ/tháng.</w:t>
      </w:r>
    </w:p>
    <w:p>
      <w:r>
        <w:rPr>
          <w:b w:val="0"/>
          <w:i w:val="0"/>
        </w:rPr>
        <w:t>5. Các cơ sở rửa ô tô, xe gắn máy: 20.00đ/tháng.</w:t>
      </w:r>
    </w:p>
    <w:p>
      <w:r>
        <w:rPr>
          <w:b w:val="0"/>
          <w:i w:val="0"/>
        </w:rPr>
        <w:t xml:space="preserve">6. Đối với các cơ quan HCSN, lực lượng vũ trang, văn phòng doanh nghiệp Nhà nước... </w:t>
      </w:r>
    </w:p>
    <w:p>
      <w:r>
        <w:rPr>
          <w:b w:val="0"/>
          <w:i w:val="0"/>
        </w:rPr>
        <w:t>- Có mức rác thải 0,1m3 /ngày trở xuống: Mức thu như hộ gia đình không sản xuất kinh doanh quy định tại khoản 1 và khoản 2 điều này.</w:t>
      </w:r>
    </w:p>
    <w:p>
      <w:r>
        <w:rPr>
          <w:b w:val="0"/>
          <w:i w:val="0"/>
        </w:rPr>
        <w:t>- Có mức rác thải trên 0,1m3/ngày: Phải hợp đồng trực tiếp với Công ty môi trường đô thị thành phố.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Định mức chi phí co các tổ chức, cá nhân trực tiếp thu phí vệ sinh môi trường là 6% trên tổng số phí vệ sinh môi trường thu được.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Toàn bộ số tiền thu được nộp ngân sách thành phố để chi phí cho các tổ chức, cá nhân trực tiếp thu; cân đối chi cho công tác vệ sinh môi trường trên địa bàn thành phố Vinh.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Thu phí vệ sinh môi trường phải sử dụng chứng từ thu do Bộ Tài chính phát hành; Giao cho UBND thành phố tổ chức công tác thu theo đúng chế độ.</w:t>
      </w:r>
    </w:p>
    <w:p>
      <w:r>
        <w:rPr>
          <w:b w:val="0"/>
          <w:i w:val="0"/>
        </w:rPr>
        <w:t>- Cục thuế phối hợp với UBND thành phố trong công tác thu.</w:t>
      </w:r>
    </w:p>
    <w:p>
      <w:r>
        <w:rPr>
          <w:b w:val="0"/>
          <w:i w:val="0"/>
        </w:rPr>
        <w:t>- Sở Tài chính - Vật giá tính toán và đưa vào cân đối ngân sách theo kế hoạch hàng năm cho ngân sách thành phố Vinh.</w:t>
      </w:r>
    </w:p>
    <w:p>
      <w:r>
        <w:rPr>
          <w:b/>
          <w:i w:val="0"/>
        </w:rPr>
        <w:t xml:space="preserve">Điều 5. </w:t>
      </w:r>
      <w:r>
        <w:rPr>
          <w:b w:val="0"/>
          <w:i w:val="0"/>
        </w:rPr>
        <w:t>Quyết định này có hiệu lực thi hành từ ngày 01/01/1997.</w:t>
      </w:r>
    </w:p>
    <w:p>
      <w:r>
        <w:rPr>
          <w:b w:val="0"/>
          <w:i w:val="0"/>
        </w:rPr>
        <w:t>Các ông Chánh văn phòng UBND tỉnh, Cục trưởng cục thuế, Giám đốc Sở Tài chính - Vật giá, Chủ tịch UBND thành phố Vinh, các ngành, các đơn vị và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HOÀNG KIM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HOÀNG KIM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HOÀNG KIM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