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23/ CT- UB tổ chức học tập Quyết định số 191-Chỉ thị 192 của Hội đồng Chánh phủ và hướng dẫn số 188 của Uỷ ban nhân dân tỉnh về việc giải quyết những quân nhân đào ngũ, công dân trốn tránh thi hành luật nghĩa vụ quân sự, những người có hành vi phá hoại cản trở việc thi hành Luật Nghĩa vụ quân sự</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UỶ BAN NHÂN DÂN</w:t>
            </w:r>
            <w:r>
              <w:rPr>
                <w:b w:val="0"/>
                <w:i w:val="0"/>
              </w:rPr>
              <w:br/>
            </w:r>
            <w:r>
              <w:rPr>
                <w:b/>
                <w:i w:val="0"/>
              </w:rPr>
              <w:t>TỈNH BẾN TRE</w:t>
            </w:r>
            <w:r>
              <w:rPr>
                <w:b w:val="0"/>
                <w:i w:val="0"/>
              </w:rPr>
              <w:br/>
            </w:r>
          </w:p>
        </w:tc>
        <w:tc>
          <w:tcPr>
            <w:tcW w:type="dxa" w:w="4320"/>
          </w:tcPr>
          <w:p>
            <w:r>
              <w:rPr>
                <w:b w:val="0"/>
                <w:i w:val="0"/>
              </w:rPr>
              <w:br/>
            </w:r>
            <w:r>
              <w:rPr>
                <w:b/>
                <w:i w:val="0"/>
              </w:rPr>
              <w:t>CỘNG HÒA XÃ HỘI CHỦ NGHĨA VIỆT NAM</w:t>
            </w:r>
            <w:r>
              <w:rPr>
                <w:b/>
                <w:i w:val="0"/>
              </w:rPr>
              <w:t>Ðộc lập - Tự do - Hạnh phúc</w:t>
            </w:r>
          </w:p>
        </w:tc>
      </w:tr>
    </w:tbl>
    <w:p>
      <w:pPr>
        <w:jc w:val="center"/>
      </w:pPr>
      <w:r>
        <w:rPr>
          <w:b/>
          <w:i w:val="0"/>
        </w:rPr>
        <w:t>CHỈ THỊ</w:t>
      </w:r>
    </w:p>
    <w:p>
      <w:pPr>
        <w:jc w:val="center"/>
      </w:pPr>
      <w:r>
        <w:rPr>
          <w:b/>
          <w:i w:val="0"/>
        </w:rPr>
        <w:t>Tổ chức học tập Quyết định số 191-Chỉ thị 192 của Hội đồng Chính phủ</w:t>
      </w:r>
    </w:p>
    <w:p>
      <w:pPr>
        <w:jc w:val="center"/>
      </w:pPr>
      <w:r>
        <w:rPr>
          <w:b/>
          <w:i w:val="0"/>
        </w:rPr>
        <w:t xml:space="preserve"> </w:t>
      </w:r>
      <w:r>
        <w:rPr>
          <w:b/>
          <w:i w:val="0"/>
        </w:rPr>
        <w:t xml:space="preserve">và hướng dẫn số 188 của Ủy ban nhân dân Tỉnh về việc giải quyết những quân nhân đào ngũ, công dân trốn tránh thi hành luật nghĩa vụ quân sự,  </w:t>
      </w:r>
      <w:r>
        <w:rPr>
          <w:b/>
          <w:i w:val="0"/>
        </w:rPr>
        <w:t xml:space="preserve">những người có hành vi phá hoại cản trở việc thi hành luật </w:t>
      </w:r>
      <w:r>
        <w:rPr>
          <w:b/>
          <w:i w:val="0"/>
        </w:rPr>
        <w:t>nghĩa vụ quân sự.</w:t>
      </w:r>
    </w:p>
    <w:p>
      <w:r>
        <w:rPr>
          <w:b w:val="0"/>
          <w:i w:val="0"/>
        </w:rPr>
        <w:t>Dưới sự lãnh đạo của Đảng và Ủy ban nhân dân các cấp trong những năm qua nhân dân trong Tỉnh đã thi hành tốt luật nghĩa vụ quân sự, hầu hết thanh niên đến tuổi đều hăng hái nhập ngũ xây dựng quân đội – chiến đấu và sẳn sàng chiến đấu bảo vệ Tổ quốc giữ vững an ninh chính trị trật tự toàn xã hội.</w:t>
      </w:r>
    </w:p>
    <w:p>
      <w:r>
        <w:rPr>
          <w:b w:val="0"/>
          <w:i w:val="0"/>
        </w:rPr>
        <w:t xml:space="preserve">          Tuy vậy vẫn còn một số hiện tượng tiêu cực nảy sinh do tác động của bọn phản cách mạng, số quần chúng chậm tiến và một ít cán bộ kém phẩm chất đã gây khó khăn cho việc tuyển quân, thi hành luật nghĩa vụ quân sự.</w:t>
      </w:r>
    </w:p>
    <w:p>
      <w:r>
        <w:rPr>
          <w:b w:val="0"/>
          <w:i w:val="0"/>
        </w:rPr>
        <w:t xml:space="preserve">          Để đảm bảo thực hiện nghiêm chỉnh luật nghĩa vụ quân sự nhằm nâng cao sức mạnh chiến đấu của các lực lượng vũ trang nhân dân, góp phần giữ vững an ninh chính trị , trật tự an toàn xã hội, sẳn sàng chiến đấu bảo vệ Tổ quốc xã hội chủ nghĩa.</w:t>
      </w:r>
    </w:p>
    <w:p>
      <w:r>
        <w:rPr>
          <w:b w:val="0"/>
          <w:i w:val="0"/>
        </w:rPr>
        <w:t xml:space="preserve">          Bộ chỉ huy Quân sự Tỉnh các ty ban ngành, Ủy ban nhân dân các huyện, thị tổ chức một đợt sinh hoạt sâu rộng trong nội bộ các ban ngành đoàn thể, phường, xã và đến tận quần chúng nhân dân.</w:t>
      </w:r>
    </w:p>
    <w:p>
      <w:r>
        <w:rPr>
          <w:b w:val="0"/>
          <w:i w:val="0"/>
        </w:rPr>
        <w:t xml:space="preserve">          Trong sinh hoạt có liên hệ kiểm điểm, những ưu khuyết điểm vừa qua ở đơn vị mình, ở địa phương mình tìm ra nguyên nhân.</w:t>
      </w:r>
    </w:p>
    <w:p>
      <w:r>
        <w:rPr>
          <w:b w:val="0"/>
          <w:i w:val="0"/>
        </w:rPr>
        <w:t xml:space="preserve">          Ủy ban nhân dân Tỉnh yêu cầu các đồng chí Thủ trưởng ty ban ngành, đoàn thể, các đồng chí Chủ tịch UBND huyện thị, quán triệt sâu sắc chỉ thị nầy.</w:t>
      </w:r>
    </w:p>
    <w:p>
      <w:r>
        <w:rPr>
          <w:b w:val="0"/>
          <w:i w:val="0"/>
        </w:rPr>
        <w:t xml:space="preserve">          Kết quả thực hiện báo cáo về TT-UBND Tỉnh để theo dõi./.</w:t>
      </w:r>
    </w:p>
    <w:p>
      <w:pPr>
        <w:jc w:val="center"/>
      </w:pPr>
      <w:r>
        <w:rPr>
          <w:b/>
          <w:i w:val="0"/>
        </w:rPr>
        <w:t>TM.ỦY BAN NHÂN DÂN TỈNH</w:t>
      </w:r>
    </w:p>
    <w:p>
      <w:pPr>
        <w:jc w:val="center"/>
      </w:pPr>
      <w:r>
        <w:rPr>
          <w:b/>
          <w:i w:val="0"/>
        </w:rPr>
        <w:t>PHÓ CHỦ TỊCH</w:t>
      </w:r>
    </w:p>
    <w:p>
      <w:pPr>
        <w:jc w:val="center"/>
      </w:pPr>
      <w:r>
        <w:rPr>
          <w:b/>
          <w:i/>
        </w:rPr>
        <w:t xml:space="preserve">(Đã ký) </w:t>
      </w:r>
    </w:p>
    <w:p>
      <w:pPr>
        <w:jc w:val="center"/>
      </w:pPr>
      <w:r>
        <w:rPr>
          <w:b/>
          <w:i w:val="0"/>
        </w:rPr>
        <w:t>ĐẶNG QUANG NGỌC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