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23/2000/QĐ-BCN Về việc thành lập Công ty Tư vấn đầu tư mỏ và công nghiệp trực thuộc Tổng Công ty Than Việt Nam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23/2000/QĐ-BCN</w:t>
        <w:br/>
        <w:t xml:space="preserve">     </w:t>
      </w:r>
      <w:r>
        <w:rPr>
          <w:b w:val="0"/>
          <w:i w:val="0"/>
        </w:rPr>
        <w:br/>
      </w:r>
      <w:r>
        <w:rPr>
          <w:b w:val="0"/>
          <w:i/>
        </w:rPr>
        <w:br/>
        <w:t xml:space="preserve">      Hà Nội, ngày 05 tháng 04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23/2000/QĐ-BCN</w:t>
        <w:br/>
        <w:t xml:space="preserve">     </w:t>
      </w:r>
      <w:r>
        <w:rPr>
          <w:b w:val="0"/>
          <w:i w:val="0"/>
        </w:rPr>
        <w:br/>
      </w:r>
      <w:r>
        <w:rPr>
          <w:b w:val="0"/>
          <w:i/>
        </w:rPr>
        <w:br/>
        <w:t xml:space="preserve">      Hà Nội, ngày 05 tháng 04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23/2000/QĐ-BCN</w:t>
        <w:br/>
        <w:t xml:space="preserve">     </w:t>
      </w:r>
      <w:r>
        <w:rPr>
          <w:b w:val="0"/>
          <w:i w:val="0"/>
        </w:rPr>
        <w:br/>
      </w:r>
      <w:r>
        <w:rPr>
          <w:b w:val="0"/>
          <w:i/>
        </w:rPr>
        <w:br/>
        <w:t xml:space="preserve">      Hà Nội, ngày 05 tháng 04 năm 2000</w:t>
        <w:br/>
        <w:t xml:space="preserve">     </w:t>
      </w:r>
      <w:r>
        <w:rPr>
          <w:b w:val="0"/>
          <w:i w:val="0"/>
        </w:rPr>
        <w:br/>
      </w:r>
    </w:p>
    <w:p>
      <w:pPr>
        <w:jc w:val="center"/>
      </w:pPr>
      <w:r>
        <w:rPr>
          <w:b w:val="0"/>
          <w:i w:val="0"/>
        </w:rPr>
        <w:br/>
        <w:t xml:space="preserve">      Số: 23/2000/QĐ-BCN</w:t>
        <w:br/>
        <w:t xml:space="preserve">     </w:t>
      </w:r>
    </w:p>
    <w:p>
      <w:pPr>
        <w:jc w:val="center"/>
      </w:pPr>
      <w:r>
        <w:rPr>
          <w:b w:val="0"/>
          <w:i w:val="0"/>
        </w:rPr>
        <w:br/>
        <w:t xml:space="preserve">      Hà Nội, ngày 05 tháng 04 năm 2000</w:t>
        <w:br/>
        <w:t xml:space="preserve">     </w:t>
      </w:r>
    </w:p>
    <w:p>
      <w:r>
        <w:rPr>
          <w:b/>
          <w:i w:val="0"/>
        </w:rPr>
        <w:t xml:space="preserve">QUYẾT ĐỊNH </w:t>
      </w:r>
    </w:p>
    <w:p>
      <w:r>
        <w:rPr>
          <w:b/>
          <w:i w:val="0"/>
        </w:rPr>
        <w:t xml:space="preserve">Về việc thành lập Công ty Tư vấn đầu tư mỏ và công nghiệp </w:t>
      </w:r>
    </w:p>
    <w:p>
      <w:r>
        <w:rPr>
          <w:b/>
          <w:i w:val="0"/>
        </w:rPr>
        <w:t>trực thuộc Tổng Công ty Than Việt Nam</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 xml:space="preserve">Căn cứ Nghị định số 50/CP ngày 28 tháng 8 năm 1996 của Chính phủ về việc thành lập, tổ chức lại, giải thể và phá sản doanh nghiệp nhà nước; </w:t>
      </w:r>
    </w:p>
    <w:p>
      <w:r>
        <w:rPr>
          <w:b w:val="0"/>
          <w:i/>
        </w:rPr>
        <w:t>Căn cứ ý kiến của Thủ tướng Chính phủ tại Công văn số 14/CP-ĐMDN ngày 02 tháng 02 năm 2000, giao Bộ trưởng Bộ Công nghiệp chủ trì phối hợp các Bộ, ngành liên quan chỉ đạo việc tổ chức lại hoặc chuyển đổi các đơn vị thành viên của Tổng Công ty Than Việt Nam;</w:t>
      </w:r>
    </w:p>
    <w:p>
      <w:r>
        <w:rPr>
          <w:b w:val="0"/>
          <w:i/>
        </w:rPr>
        <w:t>Theo đề nghị của Hội đồng quản trị Tổng Công ty Than Việt Nam (tờ trình số 387CV/HĐQT ngày 17 tháng 11 năm 1999) và Vụ trưởng Vụ Tổ chức - Cán bộ,</w:t>
      </w:r>
    </w:p>
    <w:p>
      <w:r>
        <w:rPr>
          <w:b/>
          <w:i w:val="0"/>
        </w:rPr>
        <w:t>QUYẾT ĐỊNH:</w:t>
      </w:r>
    </w:p>
    <w:p>
      <w:r>
        <w:rPr>
          <w:b/>
          <w:i w:val="0"/>
        </w:rPr>
        <w:t xml:space="preserve">Điều 1. </w:t>
      </w:r>
      <w:r>
        <w:rPr>
          <w:b w:val="0"/>
          <w:i w:val="0"/>
        </w:rPr>
        <w:t>Thành lập Công ty Tư vấn đầu tư mỏ và công nghiệp là doanh nghiệp thành viên hạch toán độc lập của Tổng Công ty Than Việt Nam, trên cơ sở hợp nhất Công ty Tư vấn đầu tư Điện-Than và Công ty Tư vấn xây dựng mỏ và công nghiệp.</w:t>
      </w:r>
    </w:p>
    <w:p>
      <w:r>
        <w:rPr>
          <w:b w:val="0"/>
          <w:i w:val="0"/>
        </w:rPr>
        <w:t>Công ty Tư vấn đầu tư mỏ và công nghiệp, có tài khoản tại Ngân hàng, có con dấu để giao dịch theo quy định của pháp luật.</w:t>
      </w:r>
    </w:p>
    <w:p>
      <w:r>
        <w:rPr>
          <w:b w:val="0"/>
          <w:i w:val="0"/>
        </w:rPr>
        <w:t xml:space="preserve"> - Tên giao dịch Quốc tế: INDUSTRIAL AND MINE INVESTMENT CONSULTING COMPANY, viết tắt là: IMCC</w:t>
      </w:r>
    </w:p>
    <w:p>
      <w:r>
        <w:rPr>
          <w:b w:val="0"/>
          <w:i w:val="0"/>
        </w:rPr>
        <w:t xml:space="preserve"> -Trụ sở chính đặt tại : Số 565, đường Nguyễn Trãi, phường Thanh Xuân Nam, quận Thanh Xuân, thành phố Hà Nội.</w:t>
      </w:r>
    </w:p>
    <w:p>
      <w:r>
        <w:rPr>
          <w:b/>
          <w:i w:val="0"/>
        </w:rPr>
        <w:t xml:space="preserve">Điều 2. </w:t>
      </w:r>
      <w:r>
        <w:rPr>
          <w:b w:val="0"/>
          <w:i w:val="0"/>
        </w:rPr>
        <w:t>Ngành nghề kinh doanh:</w:t>
      </w:r>
    </w:p>
    <w:p>
      <w:r>
        <w:rPr>
          <w:b w:val="0"/>
          <w:i w:val="0"/>
        </w:rPr>
        <w:t>- Quy hoạch, tư vấn đầu tư và xây dựng các công trình mỏ, điện lực (nhà máy nhiệt điện, đường dây, trạm điện đến 110Kv, điện chiếu sáng...), công nghiệp, dân dụng, giao thông vận tải, bưu chính viễn thông;</w:t>
      </w:r>
    </w:p>
    <w:p>
      <w:r>
        <w:rPr>
          <w:b w:val="0"/>
          <w:i w:val="0"/>
        </w:rPr>
        <w:t>- Khảo sát địa hình, địa chất thuỷ văn, địa chất công trình, môi sinh, môi trường phục vụ lập dự án đầu tư, thiết kế công trình;</w:t>
      </w:r>
    </w:p>
    <w:p>
      <w:r>
        <w:rPr>
          <w:b w:val="0"/>
          <w:i w:val="0"/>
        </w:rPr>
        <w:t>- Thẩm định các dự án đầu tư, thiết kế kỹ thuật, tổng dự toán những dự án không do công ty thực hiện;</w:t>
      </w:r>
    </w:p>
    <w:p>
      <w:r>
        <w:rPr>
          <w:b w:val="0"/>
          <w:i w:val="0"/>
        </w:rPr>
        <w:t>- Tư vấn xuất nhập khẩu thiết bị phụ tùng phục vụ cho ngành mỏ và các ngành công nghiệp khác;</w:t>
      </w:r>
    </w:p>
    <w:p>
      <w:r>
        <w:rPr>
          <w:b w:val="0"/>
          <w:i w:val="0"/>
        </w:rPr>
        <w:t>- Thực hiện các dịch vụ tư vấn đầu tư và xây dựng các lĩnh vực nói trên cho các đơn vị khác trong và ngoài nước;</w:t>
      </w:r>
    </w:p>
    <w:p>
      <w:r>
        <w:rPr>
          <w:b w:val="0"/>
          <w:i w:val="0"/>
        </w:rPr>
        <w:t>- Xây dựng các công trình công nghiệp, dân dụng, giao thông vận tải loại vừa và nhỏ, đường dây và trạm điện từ 35 Kv trở xuống;</w:t>
      </w:r>
    </w:p>
    <w:p>
      <w:r>
        <w:rPr>
          <w:b w:val="0"/>
          <w:i w:val="0"/>
        </w:rPr>
        <w:t>- Nghiên cứu ứng dụng khoa học công nghệ, chuyển giao công nghệ phục vụ ngành mỏ và các đơn vị có nhu cầu;</w:t>
      </w:r>
    </w:p>
    <w:p>
      <w:r>
        <w:rPr>
          <w:b w:val="0"/>
          <w:i w:val="0"/>
        </w:rPr>
        <w:t>- Hợp tác sản xuất kinh doanh, tiêu thụ than, vật liệu xây dựng và các dịch vụ khác.</w:t>
      </w:r>
    </w:p>
    <w:p>
      <w:r>
        <w:rPr>
          <w:b/>
          <w:i w:val="0"/>
        </w:rPr>
        <w:t xml:space="preserve">Điều 3. </w:t>
      </w:r>
      <w:r>
        <w:rPr>
          <w:b w:val="0"/>
          <w:i w:val="0"/>
        </w:rPr>
        <w:t>Tổng giám đốc Tổng công ty Than Việt Nam có trách nhiệm chỉ đạo thực hiện việc hợp nhất hai đơn vị trên theo đúng quy định hiện hành của Nhà nước, đảm bảo cho doanh nghiệp hoạt động bình thường và có hiệu quả.</w:t>
      </w:r>
    </w:p>
    <w:p>
      <w:r>
        <w:rPr>
          <w:b/>
          <w:i w:val="0"/>
        </w:rPr>
        <w:t xml:space="preserve">Điều 4. </w:t>
      </w:r>
      <w:r>
        <w:rPr>
          <w:b w:val="0"/>
          <w:i w:val="0"/>
        </w:rPr>
        <w:t>Quyết định này có hiệu lực thi hành sau 15 ngày kể từ ngày ký. Các văn bản trước đây trái với Quyết định này đều bãi bỏ.</w:t>
      </w:r>
    </w:p>
    <w:p>
      <w:r>
        <w:rPr>
          <w:b w:val="0"/>
          <w:i w:val="0"/>
        </w:rPr>
        <w:t>Chánh Văn phòng Bộ, Chánh Thanh tra Bộ, các Vụ trưởng, Cục trưởng, Chủ tịch Hội đồng quản trị và Tổng giám đốc Tổng Công ty Than Việt Nam, Giám đốc Công ty Tư vấn đầu tư điện-than, Giám đốc Công ty Tư vấn xây dựng mỏ và công nghiệp, Giám đốc Công ty Tư vấn đầu tư mỏ và công nghiệp chịu trách nhiệm thi hành Quyết định này.</w:t>
      </w:r>
    </w:p>
    <w:p>
      <w:r>
        <w:rPr>
          <w:b w:val="0"/>
          <w:i w:val="0"/>
        </w:rPr>
        <w:br/>
      </w:r>
      <w:r>
        <w:rPr>
          <w:b w:val="0"/>
          <w:i w:val="0"/>
        </w:rPr>
        <w:br/>
      </w:r>
      <w:r>
        <w:rPr>
          <w:b/>
          <w:i w:val="0"/>
        </w:rPr>
        <w:br/>
      </w:r>
      <w:r>
        <w:rPr>
          <w:b/>
          <w:i w:val="0"/>
        </w:rPr>
        <w:br/>
        <w:t xml:space="preserve">      BỘ TRƯỞNG Bộ công nghiệp</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 Bộ công nghiệp</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p>
    <w:p>
      <w:pPr>
        <w:jc w:val="center"/>
      </w:pPr>
      <w:r>
        <w:rPr>
          <w:b w:val="0"/>
          <w:i w:val="0"/>
        </w:rPr>
        <w:br/>
      </w:r>
      <w:r>
        <w:rPr>
          <w:b/>
          <w:i w:val="0"/>
        </w:rPr>
        <w:br/>
        <w:t xml:space="preserve">      BỘ TRƯỞNG Bộ công nghiệp</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r>
        <w:rPr>
          <w:b w:val="0"/>
          <w:i w:val="0"/>
        </w:rPr>
        <w:br/>
      </w:r>
    </w:p>
    <w:p>
      <w:r>
        <w:rPr>
          <w:b w:val="0"/>
          <w:i w:val="0"/>
        </w:rPr>
        <w:br/>
        <w:t xml:space="preserve">      BỘ TRƯỞNG Bộ công nghiệp</w:t>
        <w:br/>
        <w:t xml:space="preserve">     </w:t>
      </w:r>
    </w:p>
    <w:p>
      <w:r>
        <w:rPr>
          <w:b w:val="0"/>
          <w:i w:val="0"/>
        </w:rPr>
        <w:br/>
        <w:t xml:space="preserve">      (Đã ký)</w:t>
        <w:br/>
        <w:t xml:space="preserve">     </w:t>
      </w:r>
    </w:p>
    <w:p>
      <w:r>
        <w:rPr>
          <w:b w:val="0"/>
          <w:i w:val="0"/>
        </w:rPr>
        <w:br/>
        <w:t xml:space="preserve">      Đặng Vũ Chư</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