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23/2002/QĐ-BCN Về việc chuyển Công ty Điện tử Phú Thọ Hoà thành Công ty cổ phần Cơ khí Điện tử Phú Thọ Hoà</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23/2002/QĐ-BCN</w:t>
      </w:r>
      <w:r>
        <w:rPr>
          <w:b w:val="0"/>
          <w:i w:val="0"/>
        </w:rPr>
        <w:br/>
      </w:r>
      <w:r>
        <w:rPr>
          <w:b w:val="0"/>
          <w:i w:val="0"/>
        </w:rPr>
        <w:br/>
      </w:r>
      <w:r>
        <w:rPr>
          <w:b w:val="0"/>
          <w:i/>
        </w:rPr>
        <w:t>Hà Nội, ngày 07 tháng 06 năm 2002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Công ty Điện tử Phú Thọ Hoà thành </w:t>
      </w:r>
      <w:r>
        <w:rPr>
          <w:b w:val="0"/>
          <w:i w:val="0"/>
        </w:rPr>
        <w:br/>
      </w:r>
      <w:r>
        <w:rPr>
          <w:b/>
          <w:i w:val="0"/>
        </w:rPr>
        <w:t>Công ty cổ phần Cơ khí Điện tử Phú Thọ Hoà</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 xml:space="preserve">Xét đề nghị của Tổng công ty Điện tử Tin học Việt Nam (Tờ trình số 555/ĐT-HĐQT ngày 21 tháng 11 năm 2001 và 173/TTr-HĐQT ngày 29 tháng 4 năm 2002), Phương án chuyển Công ty Điện tử Phú Thọ Hoà thành Công ty cổ phần và Biên bản thẩm định Phương án ngày 11 tháng 4 năm 2002 của Ban Đổi mới và Phát triển doanh nghiệp Bộ Công nghiệp; </w:t>
      </w:r>
      <w:r>
        <w:rPr>
          <w:b w:val="0"/>
          <w:i w:val="0"/>
        </w:rPr>
        <w:br/>
      </w:r>
      <w:r>
        <w:rPr>
          <w:b w:val="0"/>
          <w:i/>
        </w:rPr>
        <w:t>Theo đề nghị của Ban Đổi mới và Phát triển doanh nghiệp Bộ Công nghiệp và Vụ trưởng Vụ Tổ chức - Cán bộ.</w:t>
      </w:r>
      <w:r>
        <w:rPr>
          <w:b w:val="0"/>
          <w:i w:val="0"/>
        </w:rPr>
        <w:br/>
      </w:r>
      <w:r>
        <w:rPr>
          <w:b/>
          <w:i w:val="0"/>
        </w:rPr>
        <w:t>QUYẾT ĐỊNH:</w:t>
      </w:r>
      <w:r>
        <w:rPr>
          <w:b w:val="0"/>
          <w:i w:val="0"/>
        </w:rPr>
        <w:br/>
      </w:r>
      <w:r>
        <w:rPr>
          <w:b/>
          <w:i w:val="0"/>
        </w:rPr>
        <w:t>Điều 1.</w:t>
      </w:r>
      <w:r>
        <w:rPr>
          <w:b w:val="0"/>
          <w:i w:val="0"/>
        </w:rPr>
        <w:t xml:space="preserve"> Phê duyệt Phương án cổ phần hoá Công ty Điện tử Phú Thọ Hoà, thành viên hạch toán độc lập thuộc Tổng công ty Điện tử Tin học Việt Nam gồm những điểm chính như sau:</w:t>
      </w:r>
      <w:r>
        <w:rPr>
          <w:b w:val="0"/>
          <w:i w:val="0"/>
        </w:rPr>
        <w:br/>
      </w:r>
      <w:r>
        <w:rPr>
          <w:b w:val="0"/>
          <w:i w:val="0"/>
        </w:rPr>
        <w:t>1. Cơ cấu vốn điều lệ.</w:t>
      </w:r>
      <w:r>
        <w:rPr>
          <w:b w:val="0"/>
          <w:i w:val="0"/>
        </w:rPr>
        <w:br/>
      </w:r>
      <w:r>
        <w:rPr>
          <w:b w:val="0"/>
          <w:i w:val="0"/>
        </w:rPr>
        <w:t>Vốn điều lệ của Công ty cổ phần là: 3.120.000.000 đồng (ba tỷ một trăm hai mươi triệu đồng chẵn). Trong đó:</w:t>
      </w:r>
      <w:r>
        <w:rPr>
          <w:b w:val="0"/>
          <w:i w:val="0"/>
        </w:rPr>
        <w:br/>
      </w:r>
      <w:r>
        <w:rPr>
          <w:b w:val="0"/>
          <w:i w:val="0"/>
        </w:rPr>
        <w:t>- Tỷ lệ cổ phần của Nhà nước : 30 %;</w:t>
      </w:r>
      <w:r>
        <w:rPr>
          <w:b w:val="0"/>
          <w:i w:val="0"/>
        </w:rPr>
        <w:br/>
      </w:r>
      <w:r>
        <w:rPr>
          <w:b w:val="0"/>
          <w:i w:val="0"/>
        </w:rPr>
        <w:t>- Tỷ lệ cổ phần bán cho người lao động trong Công ty: 40 %;</w:t>
      </w:r>
      <w:r>
        <w:rPr>
          <w:b w:val="0"/>
          <w:i w:val="0"/>
        </w:rPr>
        <w:br/>
      </w:r>
      <w:r>
        <w:rPr>
          <w:b w:val="0"/>
          <w:i w:val="0"/>
        </w:rPr>
        <w:t>- Tỷ lệ cổ phần bán cho các đối tượng ngoài Công ty : 30 %.</w:t>
      </w:r>
      <w:r>
        <w:rPr>
          <w:b w:val="0"/>
          <w:i w:val="0"/>
        </w:rPr>
        <w:br/>
      </w:r>
      <w:r>
        <w:rPr>
          <w:b w:val="0"/>
          <w:i w:val="0"/>
        </w:rPr>
        <w:t>Trị giá một cổ phần: 100.000 đồng.</w:t>
      </w:r>
      <w:r>
        <w:rPr>
          <w:b w:val="0"/>
          <w:i w:val="0"/>
        </w:rPr>
        <w:br/>
      </w:r>
      <w:r>
        <w:rPr>
          <w:b w:val="0"/>
          <w:i w:val="0"/>
        </w:rPr>
        <w:t>2. Giá trị thực tế của Công ty Điện tử Phú Thọ Hoà (Quyết định số 1080/QĐ-TCKT ngày 20 tháng 6 năm 2000 của Bộ trưởng Bộ Công nghiệp về xác định giá trị Công ty Điện tử Phú Thọ Hoà) tại thời điểm ngày 31 tháng 12 năm 1999 để cổ phần hoá là: 3.907.848.871 đồng. Trong đó, giá trị thực tế phần vốn Nhà nước tại Công ty là: 3.119.565.562 đồng.</w:t>
      </w:r>
      <w:r>
        <w:rPr>
          <w:b w:val="0"/>
          <w:i w:val="0"/>
        </w:rPr>
        <w:br/>
      </w:r>
      <w:r>
        <w:rPr>
          <w:b w:val="0"/>
          <w:i w:val="0"/>
        </w:rPr>
        <w:t>3. Ưu đãi cho người lao động trong Công ty.</w:t>
      </w:r>
      <w:r>
        <w:rPr>
          <w:b w:val="0"/>
          <w:i w:val="0"/>
        </w:rPr>
        <w:br/>
      </w:r>
      <w:r>
        <w:rPr>
          <w:b w:val="0"/>
          <w:i w:val="0"/>
        </w:rPr>
        <w:t>Tổng số cổ phần bán ưu đãi cho 54 lao động trong Công ty là 4.710 cổ phần với giá trị được ưu đãi là 141.300.000 đồng. Trong đó, số cổ phần ưu đãi bán trả chậm cho 8 lao động nghèo là 670 cổ phần trị giá 46.900.000 đồng.</w:t>
      </w:r>
      <w:r>
        <w:rPr>
          <w:b w:val="0"/>
          <w:i w:val="0"/>
        </w:rPr>
        <w:br/>
      </w:r>
      <w:r>
        <w:rPr>
          <w:b w:val="0"/>
          <w:i w:val="0"/>
        </w:rPr>
        <w:t>4. Chấp thuận đề nghị của Tổng công ty Điện tử Tin học Việt Nam, cho phép Công ty Điện tử Phú Thọ Hoà sử dụng một phần tiền bán cổ phần thuộc vốn Nhà nước để chi phí cổ phần hoá, Công ty lập kế hoạch và có trách nhiệm quản lý, sử dụng theo chế độ quy định.</w:t>
      </w:r>
      <w:r>
        <w:rPr>
          <w:b w:val="0"/>
          <w:i w:val="0"/>
        </w:rPr>
        <w:br/>
      </w:r>
      <w:r>
        <w:rPr>
          <w:b/>
          <w:i w:val="0"/>
        </w:rPr>
        <w:t>Điều 2.</w:t>
      </w:r>
      <w:r>
        <w:rPr>
          <w:b w:val="0"/>
          <w:i w:val="0"/>
        </w:rPr>
        <w:t xml:space="preserve"> Chuyển Công ty Điện tử Phú Thọ Hoà thành công ty cổ phần:</w:t>
      </w:r>
      <w:r>
        <w:rPr>
          <w:b w:val="0"/>
          <w:i w:val="0"/>
        </w:rPr>
        <w:br/>
      </w:r>
      <w:r>
        <w:rPr>
          <w:b w:val="0"/>
          <w:i w:val="0"/>
        </w:rPr>
        <w:t>- Tên gọi bằng tiếng Việt Nam: Công ty cổ phần Cơ khí Điện tử Phú Thọ Hoà;</w:t>
      </w:r>
      <w:r>
        <w:rPr>
          <w:b w:val="0"/>
          <w:i w:val="0"/>
        </w:rPr>
        <w:br/>
      </w:r>
      <w:r>
        <w:rPr>
          <w:b w:val="0"/>
          <w:i w:val="0"/>
        </w:rPr>
        <w:t>- Tên giao dịch quốc tế: VIETTRONICS AND MECHANICS PHUTHOHOA COMPANY, viết tắt là: VIEMCO;</w:t>
      </w:r>
      <w:r>
        <w:rPr>
          <w:b w:val="0"/>
          <w:i w:val="0"/>
        </w:rPr>
        <w:br/>
      </w:r>
      <w:r>
        <w:rPr>
          <w:b w:val="0"/>
          <w:i w:val="0"/>
        </w:rPr>
        <w:t>- Trụ sở đặt tại: 1026B Luỹ Bán Bích, phường 19, quận Tân Bình, Thành phố Hồ Chí Minh.</w:t>
      </w:r>
      <w:r>
        <w:rPr>
          <w:b w:val="0"/>
          <w:i w:val="0"/>
        </w:rPr>
        <w:br/>
      </w:r>
      <w:r>
        <w:rPr>
          <w:b/>
          <w:i w:val="0"/>
        </w:rPr>
        <w:t>Điều 3.</w:t>
      </w:r>
      <w:r>
        <w:rPr>
          <w:b w:val="0"/>
          <w:i w:val="0"/>
        </w:rPr>
        <w:t xml:space="preserve"> Công ty cổ phần Cơ khí Điện tử Phú Thọ Hoà kinh doanh các ngành nghề (tại thời điểm chuyển sang công ty cổ phần):</w:t>
      </w:r>
      <w:r>
        <w:rPr>
          <w:b w:val="0"/>
          <w:i w:val="0"/>
        </w:rPr>
        <w:br/>
      </w:r>
      <w:r>
        <w:rPr>
          <w:b w:val="0"/>
          <w:i w:val="0"/>
        </w:rPr>
        <w:t>- Sản xuất, lắp ráp và kinh doanh các sản phẩm điện, điện tử;</w:t>
      </w:r>
      <w:r>
        <w:rPr>
          <w:b w:val="0"/>
          <w:i w:val="0"/>
        </w:rPr>
        <w:br/>
      </w:r>
      <w:r>
        <w:rPr>
          <w:b w:val="0"/>
          <w:i w:val="0"/>
        </w:rPr>
        <w:t>- Sản xuất, kinh doanh các sản phẩm nhựa và cơ khí dân dụng;</w:t>
      </w:r>
      <w:r>
        <w:rPr>
          <w:b w:val="0"/>
          <w:i w:val="0"/>
        </w:rPr>
        <w:br/>
      </w:r>
      <w:r>
        <w:rPr>
          <w:b w:val="0"/>
          <w:i w:val="0"/>
        </w:rPr>
        <w:t>- Xuất nhập khẩu trực tiếp;</w:t>
      </w:r>
      <w:r>
        <w:rPr>
          <w:b w:val="0"/>
          <w:i w:val="0"/>
        </w:rPr>
        <w:br/>
      </w:r>
      <w:r>
        <w:rPr>
          <w:b w:val="0"/>
          <w:i w:val="0"/>
        </w:rPr>
        <w:t>- Kinh doanh các ngành nghề khác theo quy định của pháp luật.</w:t>
      </w:r>
      <w:r>
        <w:rPr>
          <w:b w:val="0"/>
          <w:i w:val="0"/>
        </w:rPr>
        <w:br/>
      </w:r>
      <w:r>
        <w:rPr>
          <w:b/>
          <w:i w:val="0"/>
        </w:rPr>
        <w:t>Điều 4.</w:t>
      </w:r>
      <w:r>
        <w:rPr>
          <w:b w:val="0"/>
          <w:i w:val="0"/>
        </w:rPr>
        <w:t xml:space="preserve"> Công ty cổ phần Cơ khí Điện tử Phú Thọ Hoà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Điện tử Tin học Việt Nam có trách nhiệm chỉ đạo Công ty Điện tử Phú Thọ Hoà tổ chức Đại hội đồng cổ đông thành lập Công ty cổ phần Cơ khí Điện tử Phú Thọ Hoà.</w:t>
      </w:r>
      <w:r>
        <w:rPr>
          <w:b w:val="0"/>
          <w:i w:val="0"/>
        </w:rPr>
        <w:br/>
      </w:r>
      <w:r>
        <w:rPr>
          <w:b w:val="0"/>
          <w:i w:val="0"/>
        </w:rPr>
        <w:t>Giám đốc và Kế toán trưởng Công ty Điện tử Phú Thọ Hoà có trách nhiệm điều hành công việc của Công ty cho đến khi bàn giao cho Hội đồng quản trị và Giám đốc Công ty cổ phần Cơ khí Điện tử Phú Thọ Hoà.</w:t>
      </w:r>
      <w:r>
        <w:rPr>
          <w:b w:val="0"/>
          <w:i w:val="0"/>
        </w:rPr>
        <w:br/>
      </w:r>
      <w:r>
        <w:rPr>
          <w:b/>
          <w:i w:val="0"/>
        </w:rPr>
        <w:t>Điều 6.</w:t>
      </w:r>
      <w:r>
        <w:rPr>
          <w:b w:val="0"/>
          <w:i w:val="0"/>
        </w:rPr>
        <w:t xml:space="preserve"> Quyết định này có hiệu lực thi hành sau 15 ngày kể từ ngày ký. Bãi bỏ các Quyết định trước đây trái với Quyết định này.</w:t>
      </w:r>
      <w:r>
        <w:rPr>
          <w:b w:val="0"/>
          <w:i w:val="0"/>
        </w:rPr>
        <w:br/>
      </w:r>
      <w:r>
        <w:rPr>
          <w:b w:val="0"/>
          <w:i w:val="0"/>
        </w:rPr>
        <w:t>Chánh Văn phòng Bộ, Chánh Thanh tra Bộ, các Vụ trưởng, Cục trưởng thuộc Bộ, Chủ tịch Hội đồng quản trị và Tổng giám đốc Tổng công ty Điện tử Tin học Việt Nam, Giám đốc Công ty Điện tử Phú Thọ Hoà và Chủ tịch Hội đồng quản trị, Giám đốc Công ty cổ phần Cơ khí Điện tử Phú Thọ Hoà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t>- Như Điều 6,</w:t>
      </w:r>
      <w:r>
        <w:br/>
      </w:r>
      <w:r>
        <w:rPr>
          <w:b w:val="0"/>
          <w:i w:val="0"/>
        </w:rPr>
        <w:t>- Văn phòng Chính phủ,</w:t>
      </w:r>
      <w:r>
        <w:br/>
      </w:r>
      <w:r>
        <w:rPr>
          <w:b w:val="0"/>
          <w:i w:val="0"/>
        </w:rPr>
        <w:t>- Ban Chỉ đạo ĐM và PTDN,</w:t>
      </w:r>
      <w:r>
        <w:br/>
      </w:r>
      <w:r>
        <w:rPr>
          <w:b w:val="0"/>
          <w:i w:val="0"/>
        </w:rPr>
        <w:t xml:space="preserve">- Bộ Kế hoạch và Đầu tư, </w:t>
      </w:r>
      <w:r>
        <w:br/>
      </w:r>
      <w:r>
        <w:rPr>
          <w:b w:val="0"/>
          <w:i w:val="0"/>
        </w:rPr>
        <w:t xml:space="preserve">- Bộ Tài chính, </w:t>
      </w:r>
      <w:r>
        <w:br/>
      </w:r>
      <w:r>
        <w:rPr>
          <w:b w:val="0"/>
          <w:i w:val="0"/>
        </w:rPr>
        <w:t xml:space="preserve">- Cục Tài chính DN, </w:t>
      </w:r>
      <w:r>
        <w:br/>
      </w:r>
      <w:r>
        <w:rPr>
          <w:b w:val="0"/>
          <w:i w:val="0"/>
        </w:rPr>
        <w:t xml:space="preserve">- Ngân hàng Nhà nước VN, </w:t>
      </w:r>
      <w:r>
        <w:br/>
      </w:r>
      <w:r>
        <w:rPr>
          <w:b w:val="0"/>
          <w:i w:val="0"/>
        </w:rPr>
        <w:t xml:space="preserve">- Kho bạc Nhà nước VN, </w:t>
      </w:r>
      <w:r>
        <w:br/>
      </w:r>
      <w:r>
        <w:rPr>
          <w:b w:val="0"/>
          <w:i w:val="0"/>
        </w:rPr>
        <w:t xml:space="preserve">- UBND TP Hồ CHí Minh, </w:t>
      </w:r>
      <w:r>
        <w:br/>
      </w:r>
      <w:r>
        <w:rPr>
          <w:b w:val="0"/>
          <w:i w:val="0"/>
        </w:rPr>
        <w:t xml:space="preserve">- Công báo, </w:t>
      </w:r>
      <w:r>
        <w:br/>
      </w:r>
      <w:r>
        <w:rPr>
          <w:b w:val="0"/>
          <w:i w:val="0"/>
        </w:rPr>
        <w:t>- Lưu VP, TCCB.</w:t>
      </w:r>
      <w:r>
        <w:rPr>
          <w:b w:val="0"/>
          <w:i w:val="0"/>
        </w:rPr>
        <w:br/>
      </w:r>
      <w:r>
        <w:rPr>
          <w:b w:val="0"/>
          <w:i w:val="0"/>
        </w:rPr>
        <w:br/>
      </w:r>
      <w:r>
        <w:rPr>
          <w:b/>
          <w:i w:val="0"/>
        </w:rPr>
        <w:t>KT. BỘ TRƯỞNG BỘ CÔNG NGHIỆP</w:t>
      </w:r>
      <w:r>
        <w:br/>
      </w:r>
      <w:r>
        <w:rPr>
          <w:b/>
          <w:i w:val="0"/>
        </w:rPr>
        <w:t>THỨ TRƯỞNG</w:t>
      </w:r>
      <w:r>
        <w:br/>
      </w:r>
      <w:r>
        <w:br/>
      </w:r>
      <w:r>
        <w:rPr>
          <w:b/>
          <w:i w:val="0"/>
        </w:rPr>
        <w:t>(Đã ký)</w:t>
      </w:r>
      <w:r>
        <w:br/>
      </w:r>
      <w:r>
        <w:br/>
      </w:r>
      <w:r>
        <w:rPr>
          <w:b w:val="0"/>
          <w:i w:val="0"/>
        </w:rPr>
        <w:br/>
        <w:t xml:space="preserve">          </w:t>
      </w:r>
      <w:r>
        <w:br/>
      </w:r>
      <w:r>
        <w:rPr>
          <w:b/>
          <w:i w:val="0"/>
        </w:rPr>
        <w:t>Nguyễn Xuân Thuý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t>- Như Điều 6,</w:t>
            </w:r>
            <w:r>
              <w:br/>
            </w:r>
            <w:r>
              <w:rPr>
                <w:b w:val="0"/>
                <w:i w:val="0"/>
              </w:rPr>
              <w:t>- Văn phòng Chính phủ,</w:t>
            </w:r>
            <w:r>
              <w:br/>
            </w:r>
            <w:r>
              <w:rPr>
                <w:b w:val="0"/>
                <w:i w:val="0"/>
              </w:rPr>
              <w:t>- Ban Chỉ đạo ĐM và PTDN,</w:t>
            </w:r>
            <w:r>
              <w:br/>
            </w:r>
            <w:r>
              <w:rPr>
                <w:b w:val="0"/>
                <w:i w:val="0"/>
              </w:rPr>
              <w:t xml:space="preserve">- Bộ Kế hoạch và Đầu tư, </w:t>
            </w:r>
            <w:r>
              <w:br/>
            </w:r>
            <w:r>
              <w:rPr>
                <w:b w:val="0"/>
                <w:i w:val="0"/>
              </w:rPr>
              <w:t xml:space="preserve">- Bộ Tài chính, </w:t>
            </w:r>
            <w:r>
              <w:br/>
            </w:r>
            <w:r>
              <w:rPr>
                <w:b w:val="0"/>
                <w:i w:val="0"/>
              </w:rPr>
              <w:t xml:space="preserve">- Cục Tài chính DN, </w:t>
            </w:r>
            <w:r>
              <w:br/>
            </w:r>
            <w:r>
              <w:rPr>
                <w:b w:val="0"/>
                <w:i w:val="0"/>
              </w:rPr>
              <w:t xml:space="preserve">- Ngân hàng Nhà nước VN, </w:t>
            </w:r>
            <w:r>
              <w:br/>
            </w:r>
            <w:r>
              <w:rPr>
                <w:b w:val="0"/>
                <w:i w:val="0"/>
              </w:rPr>
              <w:t xml:space="preserve">- Kho bạc Nhà nước VN, </w:t>
            </w:r>
            <w:r>
              <w:br/>
            </w:r>
            <w:r>
              <w:rPr>
                <w:b w:val="0"/>
                <w:i w:val="0"/>
              </w:rPr>
              <w:t xml:space="preserve">- UBND TP Hồ CHí Minh, </w:t>
            </w:r>
            <w:r>
              <w:br/>
            </w:r>
            <w:r>
              <w:rPr>
                <w:b w:val="0"/>
                <w:i w:val="0"/>
              </w:rPr>
              <w:t xml:space="preserve">- Công báo, </w:t>
            </w:r>
            <w:r>
              <w:br/>
            </w:r>
            <w:r>
              <w:rPr>
                <w:b w:val="0"/>
                <w:i w:val="0"/>
              </w:rPr>
              <w:t>- Lưu VP, TCCB.</w:t>
            </w:r>
          </w:p>
        </w:tc>
        <w:tc>
          <w:tcPr>
            <w:tcW w:type="dxa" w:w="4320"/>
          </w:tcPr>
          <w:p>
            <w:r>
              <w:rPr>
                <w:b w:val="0"/>
                <w:i w:val="0"/>
              </w:rPr>
              <w:br/>
            </w:r>
            <w:r>
              <w:rPr>
                <w:b/>
                <w:i w:val="0"/>
              </w:rPr>
              <w:t>KT. BỘ TRƯỞNG BỘ CÔNG NGHIỆP</w:t>
            </w:r>
            <w:r>
              <w:br/>
            </w:r>
            <w:r>
              <w:rPr>
                <w:b/>
                <w:i w:val="0"/>
              </w:rPr>
              <w:t>THỨ TRƯỞNG</w:t>
            </w:r>
            <w:r>
              <w:br/>
            </w:r>
            <w:r>
              <w:br/>
            </w:r>
            <w:r>
              <w:rPr>
                <w:b/>
                <w:i w:val="0"/>
              </w:rPr>
              <w:t>(Đã ký)</w:t>
            </w:r>
            <w:r>
              <w:br/>
            </w:r>
            <w:r>
              <w:br/>
            </w:r>
            <w:r>
              <w:rPr>
                <w:b w:val="0"/>
                <w:i w:val="0"/>
              </w:rPr>
              <w:br/>
              <w:t xml:space="preserve">          </w:t>
            </w:r>
            <w:r>
              <w:br/>
            </w:r>
            <w:r>
              <w:rPr>
                <w:b/>
                <w:i w:val="0"/>
              </w:rPr>
              <w:t>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