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23/2004/QĐ-BGTVT Ban hành mẫu “Lý lịch liên tục của tàu biển”, mẫu “các sửa đổi, bổ sung đối với lý lịch liên tục của tàu biển” và mẫu “Bản danh mục các sửa đổi, bổ sung đối với lý lịch liên tục của tàu biển”</w:t>
      </w:r>
    </w:p>
    <w:p>
      <w:r>
        <w:rPr>
          <w:b w:val="0"/>
          <w:i w:val="0"/>
        </w:rPr>
        <w:br/>
      </w:r>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23/2004/QĐ-BGTVT</w:t>
      </w:r>
      <w:r>
        <w:rPr>
          <w:b w:val="0"/>
          <w:i w:val="0"/>
        </w:rPr>
        <w:br/>
      </w:r>
      <w:r>
        <w:rPr>
          <w:b w:val="0"/>
          <w:i w:val="0"/>
        </w:rPr>
        <w:br/>
      </w:r>
      <w:r>
        <w:rPr>
          <w:b w:val="0"/>
          <w:i/>
        </w:rPr>
        <w:br/>
      </w:r>
      <w:r>
        <w:rPr>
          <w:b w:val="0"/>
          <w:i/>
        </w:rPr>
        <w:t>Hà Nội, n</w:t>
      </w:r>
      <w:r>
        <w:rPr>
          <w:b w:val="0"/>
          <w:i/>
        </w:rPr>
        <w:t>gày 4 tháng 11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23/2004/QĐ-BGTVT</w:t>
      </w:r>
      <w:r>
        <w:rPr>
          <w:b w:val="0"/>
          <w:i w:val="0"/>
        </w:rPr>
        <w:br/>
      </w:r>
      <w:r>
        <w:rPr>
          <w:b w:val="0"/>
          <w:i w:val="0"/>
        </w:rPr>
        <w:br/>
      </w:r>
      <w:r>
        <w:rPr>
          <w:b w:val="0"/>
          <w:i/>
        </w:rPr>
        <w:br/>
      </w:r>
      <w:r>
        <w:rPr>
          <w:b w:val="0"/>
          <w:i/>
        </w:rPr>
        <w:t>Hà Nội, n</w:t>
      </w:r>
      <w:r>
        <w:rPr>
          <w:b w:val="0"/>
          <w:i/>
        </w:rPr>
        <w:t>gày 4 tháng 11 năm 2004</w:t>
      </w:r>
      <w:r>
        <w:rPr>
          <w:b w:val="0"/>
          <w:i/>
        </w:rPr>
        <w:br/>
      </w:r>
      <w:r>
        <w:rPr>
          <w:b w:val="0"/>
          <w:i w:val="0"/>
        </w:rPr>
        <w:br/>
      </w:r>
      <w:r>
        <w:rPr>
          <w:b w:val="0"/>
          <w:i w:val="0"/>
        </w:rPr>
        <w:br/>
      </w:r>
    </w:p>
    <w:p>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GIAO THÔNG VẬN TẢI</w:t>
      </w:r>
      <w:r>
        <w:rPr>
          <w:b w:val="0"/>
          <w:i w:val="0"/>
        </w:rPr>
        <w:br/>
      </w:r>
      <w:r>
        <w:rPr>
          <w:b w:val="0"/>
          <w:i w:val="0"/>
        </w:rPr>
        <w:br/>
      </w:r>
      <w:r>
        <w:rPr>
          <w:b w:val="0"/>
          <w:i w:val="0"/>
        </w:rPr>
        <w:br/>
      </w:r>
    </w:p>
    <w:p>
      <w:r>
        <w:rPr>
          <w:b w:val="0"/>
          <w:i w:val="0"/>
        </w:rPr>
        <w:br/>
      </w:r>
      <w:r>
        <w:rPr>
          <w:b w:val="0"/>
          <w:i w:val="0"/>
        </w:rPr>
        <w:t>BỘ GIAO THÔNG VẬN TẢI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23/2004/QĐ-BGTVT</w:t>
      </w:r>
      <w:r>
        <w:rPr>
          <w:b w:val="0"/>
          <w:i w:val="0"/>
        </w:rPr>
        <w:br/>
      </w:r>
      <w:r>
        <w:rPr>
          <w:b w:val="0"/>
          <w:i w:val="0"/>
        </w:rPr>
        <w:br/>
      </w:r>
      <w:r>
        <w:rPr>
          <w:b w:val="0"/>
          <w:i/>
        </w:rPr>
        <w:br/>
      </w:r>
      <w:r>
        <w:rPr>
          <w:b w:val="0"/>
          <w:i/>
        </w:rPr>
        <w:t>Hà Nội, n</w:t>
      </w:r>
      <w:r>
        <w:rPr>
          <w:b w:val="0"/>
          <w:i/>
        </w:rPr>
        <w:t>gày 4 tháng 11 năm 2004</w:t>
      </w:r>
      <w:r>
        <w:rPr>
          <w:b w:val="0"/>
          <w:i/>
        </w:rPr>
        <w:br/>
      </w:r>
      <w:r>
        <w:rPr>
          <w:b w:val="0"/>
          <w:i w:val="0"/>
        </w:rPr>
        <w:br/>
      </w:r>
    </w:p>
    <w:p>
      <w:pPr>
        <w:jc w:val="center"/>
      </w:pPr>
      <w:r>
        <w:rPr>
          <w:b w:val="0"/>
          <w:i w:val="0"/>
        </w:rPr>
        <w:br/>
      </w:r>
      <w:r>
        <w:rPr>
          <w:b w:val="0"/>
          <w:i w:val="0"/>
        </w:rPr>
        <w:t>Số: 23/2004/QĐ-BGTVT</w:t>
      </w:r>
      <w:r>
        <w:rPr>
          <w:b w:val="0"/>
          <w:i w:val="0"/>
        </w:rPr>
        <w:br/>
      </w:r>
    </w:p>
    <w:p>
      <w:pPr>
        <w:jc w:val="center"/>
      </w:pPr>
      <w:r>
        <w:rPr>
          <w:b w:val="0"/>
          <w:i w:val="0"/>
        </w:rPr>
        <w:br/>
      </w:r>
      <w:r>
        <w:rPr>
          <w:b w:val="0"/>
          <w:i/>
        </w:rPr>
        <w:t>Hà Nội, n</w:t>
      </w:r>
      <w:r>
        <w:rPr>
          <w:b w:val="0"/>
          <w:i w:val="0"/>
        </w:rPr>
        <w:t>gày 4 tháng 11 năm 2004</w:t>
      </w:r>
      <w:r>
        <w:rPr>
          <w:b w:val="0"/>
          <w:i w:val="0"/>
        </w:rPr>
        <w:br/>
      </w:r>
    </w:p>
    <w:p>
      <w:r>
        <w:rPr>
          <w:b/>
          <w:i w:val="0"/>
        </w:rPr>
        <w:t>QUYẾT ĐỊNH</w:t>
      </w:r>
    </w:p>
    <w:p>
      <w:r>
        <w:rPr>
          <w:b w:val="0"/>
          <w:i w:val="0"/>
        </w:rPr>
        <w:t>BAN HÀNH MẪU “LÝ LỊCH LIÊN TỤC CỦA TÀU BIỂN”, MẪU “CÁC SỬA ĐỔI, BỔ SUNG ĐỐI VỚI LÝ LỊCH LIÊN TỤC CỦA TÀU BIỂN” VÀ MẪU “BẢN DANH MỤC CÁC SỬA ĐỔI, BỔ SUNG ĐỐI VỚI LÝ LỊCH LIÊN TỤC CỦA TÀU BIỂN”</w:t>
      </w:r>
    </w:p>
    <w:p>
      <w:r>
        <w:rPr>
          <w:b/>
          <w:i w:val="0"/>
        </w:rPr>
        <w:t>BỘ TRƯỞNG BỘ GIAO THÔNG VẬN TẢI</w:t>
      </w:r>
    </w:p>
    <w:p>
      <w:r>
        <w:rPr>
          <w:b w:val="0"/>
          <w:i/>
        </w:rPr>
        <w:t>Căn cứ Nghị định số 34/2003/NĐ-CP ngày 4 tháng 4 năm 2003 của Chính phủ quy định về chức năng, nhiệm vụ, quyền hạn và cơ cấu tổ chức của Bộ Giao thông vận tải;</w:t>
      </w:r>
      <w:r>
        <w:br/>
      </w:r>
      <w:r>
        <w:rPr>
          <w:b w:val="0"/>
          <w:i/>
        </w:rPr>
        <w:br/>
        <w:t xml:space="preserve">      Căn cứ Quyết định số 191/2003/QĐ-TTg ngày 16 tháng 9 năm 2003 của Thủ tướng Chính phủ về việc phê duyệt sửa đổi, bổ sung năm 2002 một số chương của Công ước Quốc tế về an toàn sinh mạng con người trên biển;</w:t>
      </w:r>
      <w:r>
        <w:br/>
      </w:r>
      <w:r>
        <w:rPr>
          <w:b w:val="0"/>
          <w:i/>
        </w:rPr>
        <w:br/>
        <w:t xml:space="preserve">      Căn cứ sửa đổi, bổ sung năm 2002 một số chương của Công ước Quốc tế về an toàn sinh mạng con người trên biển; Bộ luật Quốc tế về an ninh tàu biển và cảng biển và Nghị quyết A. 959 (23) ngày 5/ 12/ 2003 của Tổ chức Hàng hải quốc tế ban hành và hướng dẫn việc duy trì mẫu Lý lịch liên tục của tàu biển;</w:t>
      </w:r>
      <w:r>
        <w:br/>
      </w:r>
      <w:r>
        <w:rPr>
          <w:b w:val="0"/>
          <w:i/>
        </w:rPr>
        <w:br/>
        <w:t xml:space="preserve">      Theo đề nghị của Vụ trưởng Vụ Pháp chế và Cục trưởng Cục Hàng hải Việt Nam,</w:t>
      </w:r>
    </w:p>
    <w:p>
      <w:r>
        <w:rPr>
          <w:b/>
          <w:i w:val="0"/>
        </w:rPr>
        <w:t>QUYẾT ĐỊNH:</w:t>
      </w:r>
    </w:p>
    <w:p>
      <w:r>
        <w:rPr>
          <w:b/>
          <w:i w:val="0"/>
        </w:rPr>
        <w:t>Điều 1.</w:t>
      </w:r>
    </w:p>
    <w:p>
      <w:r>
        <w:rPr>
          <w:b w:val="0"/>
          <w:i w:val="0"/>
        </w:rPr>
        <w:t>1. Nay ban hành mẫu "Lý lịch liên tục của tàu biển", mẫu "Các sửa đổi, bổ sung đối với Lý lịch liên tục của tàu biển" và mẫu "Danh mục các sửa đổi, bổ sung đối với Lý lịch liên tục của tàu biển" quy định tại Phụ lục kèm theo Quyết định này để áp dụng cho tàu biển Việt Nam hoạt động trên tuyến quốc tế và công ty khai thác tàu biển Việt Nam hoạt động trên tuyến quốc tế.</w:t>
      </w:r>
    </w:p>
    <w:p>
      <w:r>
        <w:rPr>
          <w:b w:val="0"/>
          <w:i w:val="0"/>
        </w:rPr>
        <w:t>2. Mẫu "Lý lịch liên tục của tàu biển, mẫu sửa đổi, bổ sung đối với Lý lịch liên tục của tàu biển" và mẫu "Bản danh mục các sửa đổi, bổ sung đối với Lý lịch liên tục của tàu biển" nêu tại khoản 1 Điều này thay thế cho mẫu "Lý lịch của tàu biển" quy định tại Phụ lục 2 của Quyết định số 170/ 2004/ QĐ-BGTVT ngày 16/ 1/ 2004 của Bộ trưởng Bộ Giao thông vận tải về việc áp dụng Sửa đổi, bổ sung năm 2002 của Công ước SOLAS 74 và Bộ luật Quốc tế về an ninh tàu biển và cảng biển.</w:t>
      </w:r>
    </w:p>
    <w:p>
      <w:r>
        <w:rPr>
          <w:b/>
          <w:i w:val="0"/>
        </w:rPr>
        <w:t xml:space="preserve">Điều 2. </w:t>
      </w:r>
      <w:r>
        <w:rPr>
          <w:b w:val="0"/>
          <w:i w:val="0"/>
        </w:rPr>
        <w:t>Cục trưởng Cục Hàng hải Việt Nam chịu trách nhiệm tổ chức thực hiện và hướng dẫn các cơ quan, đơn vị, cá nhân có liên quan thực hiện Quyết định này và các quy định khác theo Nghị quyết A. 959 (23) ngày 5/ 12/ 2003 của Tổ chức Hàng hải quốc tế.</w:t>
      </w:r>
    </w:p>
    <w:p>
      <w:r>
        <w:rPr>
          <w:b/>
          <w:i w:val="0"/>
        </w:rPr>
        <w:t>Điều 3.</w:t>
      </w:r>
    </w:p>
    <w:p>
      <w:r>
        <w:rPr>
          <w:b w:val="0"/>
          <w:i w:val="0"/>
        </w:rPr>
        <w:t>1. Quyết định này có hiệu lực thi hành sau 15 ngày kể từ ngày đăng Công báo. Mọi quy định trước đây trái với Quyết định này đều bãi bỏ.</w:t>
      </w:r>
    </w:p>
    <w:p>
      <w:r>
        <w:rPr>
          <w:b w:val="0"/>
          <w:i w:val="0"/>
        </w:rPr>
        <w:t>2. Chánh Văn phòng, Chánh Thanh tra, Vụ trưởng các Vụ thuộc Bộ, Cục trưởng Cục Hàng hải Việt Nam, Cục trưởng Cục Đăng kiểm Việt Nam, Thủ trưởng các cơ quan, đơn vị và cá nhân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BỘ TRƯỞNG </w:t>
      </w:r>
      <w:r>
        <w:rPr>
          <w:b/>
          <w:i w:val="0"/>
        </w:rPr>
        <w:t>BỘ GIAO THÔNG VẬN TẢI</w:t>
      </w:r>
      <w:r>
        <w:rPr>
          <w:b/>
          <w:i w:val="0"/>
        </w:rPr>
        <w:br/>
      </w:r>
      <w:r>
        <w:rPr>
          <w:b/>
          <w:i w:val="0"/>
        </w:rPr>
        <w:br/>
      </w:r>
      <w:r>
        <w:rPr>
          <w:b/>
          <w:i/>
        </w:rPr>
        <w:br/>
      </w:r>
      <w:r>
        <w:rPr>
          <w:b/>
          <w:i/>
        </w:rPr>
        <w:t>(Đã ký)</w:t>
      </w:r>
      <w:r>
        <w:rPr>
          <w:b/>
          <w:i/>
        </w:rPr>
        <w:br/>
      </w:r>
      <w:r>
        <w:rPr>
          <w:b/>
          <w:i w:val="0"/>
        </w:rPr>
        <w:br/>
      </w:r>
      <w:r>
        <w:rPr>
          <w:b/>
          <w:i w:val="0"/>
        </w:rPr>
        <w:br/>
      </w:r>
      <w:r>
        <w:rPr>
          <w:b/>
          <w:i w:val="0"/>
        </w:rPr>
        <w:t>Đào Đình Bình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BỘ TRƯỞNG </w:t>
      </w:r>
      <w:r>
        <w:rPr>
          <w:b/>
          <w:i w:val="0"/>
        </w:rPr>
        <w:t>BỘ GIAO THÔNG VẬN TẢI</w:t>
      </w:r>
      <w:r>
        <w:rPr>
          <w:b/>
          <w:i w:val="0"/>
        </w:rPr>
        <w:br/>
      </w:r>
      <w:r>
        <w:rPr>
          <w:b/>
          <w:i w:val="0"/>
        </w:rPr>
        <w:br/>
      </w:r>
      <w:r>
        <w:rPr>
          <w:b/>
          <w:i/>
        </w:rPr>
        <w:br/>
      </w:r>
      <w:r>
        <w:rPr>
          <w:b/>
          <w:i/>
        </w:rPr>
        <w:t>(Đã ký)</w:t>
      </w:r>
      <w:r>
        <w:rPr>
          <w:b/>
          <w:i/>
        </w:rPr>
        <w:br/>
      </w:r>
      <w:r>
        <w:rPr>
          <w:b/>
          <w:i w:val="0"/>
        </w:rPr>
        <w:br/>
      </w:r>
      <w:r>
        <w:rPr>
          <w:b/>
          <w:i w:val="0"/>
        </w:rPr>
        <w:br/>
      </w:r>
      <w:r>
        <w:rPr>
          <w:b/>
          <w:i w:val="0"/>
        </w:rPr>
        <w:t>Đào Đình Bình</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BỘ TRƯỞNG </w:t>
      </w:r>
      <w:r>
        <w:rPr>
          <w:b/>
          <w:i w:val="0"/>
        </w:rPr>
        <w:t>BỘ GIAO THÔNG VẬN TẢI</w:t>
      </w:r>
      <w:r>
        <w:rPr>
          <w:b/>
          <w:i w:val="0"/>
        </w:rPr>
        <w:br/>
      </w:r>
      <w:r>
        <w:rPr>
          <w:b w:val="0"/>
          <w:i w:val="0"/>
        </w:rPr>
        <w:br/>
      </w:r>
      <w:r>
        <w:rPr>
          <w:b/>
          <w:i/>
        </w:rPr>
        <w:br/>
      </w:r>
      <w:r>
        <w:rPr>
          <w:b/>
          <w:i/>
        </w:rPr>
        <w:t>(Đã ký)</w:t>
      </w:r>
      <w:r>
        <w:rPr>
          <w:b/>
          <w:i/>
        </w:rPr>
        <w:br/>
      </w:r>
      <w:r>
        <w:rPr>
          <w:b w:val="0"/>
          <w:i w:val="0"/>
        </w:rPr>
        <w:br/>
      </w:r>
      <w:r>
        <w:rPr>
          <w:b/>
          <w:i w:val="0"/>
        </w:rPr>
        <w:br/>
      </w:r>
      <w:r>
        <w:rPr>
          <w:b/>
          <w:i w:val="0"/>
        </w:rPr>
        <w:t>Đào Đình Bình</w:t>
      </w:r>
      <w:r>
        <w:rPr>
          <w:b/>
          <w:i w:val="0"/>
        </w:rPr>
        <w:br/>
      </w:r>
      <w:r>
        <w:rPr>
          <w:b w:val="0"/>
          <w:i w:val="0"/>
        </w:rPr>
        <w:br/>
      </w:r>
    </w:p>
    <w:p>
      <w:r>
        <w:rPr>
          <w:b w:val="0"/>
          <w:i w:val="0"/>
        </w:rPr>
        <w:br/>
      </w:r>
      <w:r>
        <w:rPr>
          <w:b w:val="0"/>
          <w:i w:val="0"/>
        </w:rPr>
        <w:t xml:space="preserve">BỘ TRƯỞNG </w:t>
      </w:r>
      <w:r>
        <w:rPr>
          <w:b w:val="0"/>
          <w:i w:val="0"/>
        </w:rPr>
        <w:t>BỘ GIAO THÔNG VẬN TẢI</w:t>
      </w:r>
      <w:r>
        <w:rPr>
          <w:b w:val="0"/>
          <w:i w:val="0"/>
        </w:rPr>
        <w:br/>
      </w:r>
    </w:p>
    <w:p>
      <w:r>
        <w:rPr>
          <w:b w:val="0"/>
          <w:i w:val="0"/>
        </w:rPr>
        <w:br/>
      </w:r>
      <w:r>
        <w:rPr>
          <w:b w:val="0"/>
          <w:i w:val="0"/>
        </w:rPr>
        <w:t>(Đã ký)</w:t>
      </w:r>
      <w:r>
        <w:rPr>
          <w:b w:val="0"/>
          <w:i w:val="0"/>
        </w:rPr>
        <w:br/>
      </w:r>
    </w:p>
    <w:p>
      <w:r>
        <w:rPr>
          <w:b w:val="0"/>
          <w:i w:val="0"/>
        </w:rPr>
        <w:br/>
      </w:r>
      <w:r>
        <w:rPr>
          <w:b w:val="0"/>
          <w:i w:val="0"/>
        </w:rPr>
        <w:t>Đào Đình Bình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