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240/2003/QĐ-BCN Về việc chuyển Công ty Điện tử Tân Bình thành Công ty cổ phần Điện tử Tân Bình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240/2003/QĐ-BCN</w:t>
        <w:br/>
        <w:t xml:space="preserve">     </w:t>
      </w:r>
      <w:r>
        <w:rPr>
          <w:b w:val="0"/>
          <w:i w:val="0"/>
        </w:rPr>
        <w:br/>
      </w:r>
      <w:r>
        <w:rPr>
          <w:b w:val="0"/>
          <w:i/>
        </w:rPr>
        <w:br/>
        <w:t xml:space="preserve">      Ngày 30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240/2003/QĐ-BCN</w:t>
        <w:br/>
        <w:t xml:space="preserve">     </w:t>
      </w:r>
      <w:r>
        <w:rPr>
          <w:b w:val="0"/>
          <w:i w:val="0"/>
        </w:rPr>
        <w:br/>
      </w:r>
      <w:r>
        <w:rPr>
          <w:b w:val="0"/>
          <w:i/>
        </w:rPr>
        <w:br/>
        <w:t xml:space="preserve">      Ngày 30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240/2003/QĐ-BCN</w:t>
        <w:br/>
        <w:t xml:space="preserve">     </w:t>
      </w:r>
      <w:r>
        <w:rPr>
          <w:b w:val="0"/>
          <w:i w:val="0"/>
        </w:rPr>
        <w:br/>
      </w:r>
      <w:r>
        <w:rPr>
          <w:b w:val="0"/>
          <w:i/>
        </w:rPr>
        <w:br/>
        <w:t xml:space="preserve">      Ngày 30 tháng 12 năm 2003</w:t>
        <w:br/>
        <w:t xml:space="preserve">     </w:t>
      </w:r>
      <w:r>
        <w:rPr>
          <w:b w:val="0"/>
          <w:i w:val="0"/>
        </w:rPr>
        <w:br/>
      </w:r>
    </w:p>
    <w:p>
      <w:pPr>
        <w:jc w:val="center"/>
      </w:pPr>
      <w:r>
        <w:rPr>
          <w:b w:val="0"/>
          <w:i w:val="0"/>
        </w:rPr>
        <w:br/>
        <w:t xml:space="preserve">      Số: 240/2003/QĐ-BCN</w:t>
        <w:br/>
        <w:t xml:space="preserve">     </w:t>
      </w:r>
    </w:p>
    <w:p>
      <w:pPr>
        <w:jc w:val="center"/>
      </w:pPr>
      <w:r>
        <w:rPr>
          <w:b w:val="0"/>
          <w:i w:val="0"/>
        </w:rPr>
        <w:br/>
        <w:t xml:space="preserve">      Ngày 30 tháng 12 năm 2003</w:t>
        <w:br/>
        <w:t xml:space="preserve">     </w:t>
      </w:r>
    </w:p>
    <w:p>
      <w:r>
        <w:rPr>
          <w:b/>
          <w:i w:val="0"/>
        </w:rPr>
        <w:t>QUYẾT ĐỊNH CỦA BỘ TRƯỞNG BỘ CÔNG NGHIỆP</w:t>
      </w:r>
    </w:p>
    <w:p>
      <w:r>
        <w:rPr>
          <w:b/>
          <w:i/>
        </w:rPr>
        <w:t>Về việc chuyển Công ty Điện tử Tân Bình thành Công ty cổ phần Điện tử Tân Bình</w:t>
      </w:r>
      <w:r>
        <w:rPr>
          <w:b/>
          <w:i w:val="0"/>
        </w:rPr>
        <w:t xml:space="preserve"> </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Điện tử và Tin học Việt Nam (Công văn số 132 CV/ĐT-HĐQT ngày 10 tháng 12 năm 2003 và Quyết định số 128 QĐ/ĐT-HĐQT ngày 09 tháng 12 năm 2003), Phương án cổ phần hoá Công ty Điện tử Tân Bình và Biên bản thẩm định Phương án của Ban Đổi mới và Phát triển doanh nghiệp Bộ ngày 24 tháng 12 năm 2003;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Điện tử Tân Bình (doanh nghiệp thành viên hạch toán độc lập của Tổng công ty Điện tử và Tin học Việt Nam) gồm những điểm chính như sau:</w:t>
      </w:r>
    </w:p>
    <w:p>
      <w:r>
        <w:rPr>
          <w:b w:val="0"/>
          <w:i w:val="0"/>
        </w:rPr>
        <w:t>1. Cơ cấu vốn điều lệ: Vốn điều lệ của Công ty cổ phần là 70.000.000.000 đồng (Bảy mươi tỷ đồng chẵn). Trong đó: Tỷ lệ cổ phần của Nhà nước: 51,00 %; Tỷ lệ cổ phần bán cho người lao động trong Công ty: 35,30 %; Tỷ lệ cổ phần bán ra ngoài Công ty: 13,70 %. Trị giá một cổ phần: 100.000 đồng.</w:t>
      </w:r>
    </w:p>
    <w:p>
      <w:r>
        <w:rPr>
          <w:b w:val="0"/>
          <w:i w:val="0"/>
        </w:rPr>
        <w:t>2. Giá trị thực tế của Công ty Điện tử Tân Bình tại thời điểm ngày 31 tháng 12 năm 2002 để cổ phần hoá, bao gồm cả giá trị phần vốn liên doanh (Quyết định số 2176/QĐ-TCKT ngày 03 tháng 9 năm 2003 của Bộ Công nghiệp) là 205.999.000.504 đồng. Trong đó, giá trị thực tế phần vốn Nhà nước tại Công ty là 100.922.307.577 đồng.</w:t>
      </w:r>
    </w:p>
    <w:p>
      <w:r>
        <w:rPr>
          <w:b w:val="0"/>
          <w:i w:val="0"/>
        </w:rPr>
        <w:t>3. Ưu đãi cho người lao động trong Công ty. Tổng số cổ phần bán ưu đãi cho 301 lao động trong Công ty là 23.630 cổ phần với giá trị được ưu đãi là 708.900.000 đồng.</w:t>
      </w:r>
    </w:p>
    <w:p>
      <w:r>
        <w:rPr>
          <w:b w:val="0"/>
          <w:i w:val="0"/>
        </w:rPr>
        <w:t>4. Về chi phí cổ phần hoá, đào tạo lại lao động và giải quyết lao động dôi dư, Công ty làm thủ tục, báo cáo Tổng công ty Điện tử và Tin học Việt Nam và các cơ quan Nhà nước có thẩm quyền phê duyệt theo các quy định hiện hành.</w:t>
      </w:r>
    </w:p>
    <w:p>
      <w:r>
        <w:rPr>
          <w:b/>
          <w:i w:val="0"/>
        </w:rPr>
        <w:t xml:space="preserve">Điều 2. </w:t>
      </w:r>
      <w:r>
        <w:rPr>
          <w:b w:val="0"/>
          <w:i w:val="0"/>
        </w:rPr>
        <w:t>Chuyển Công ty Điện tử Tân Bình thành Công ty cổ phần Điện tử Tân Bình,</w:t>
      </w:r>
    </w:p>
    <w:p>
      <w:r>
        <w:rPr>
          <w:b w:val="0"/>
          <w:i w:val="0"/>
        </w:rPr>
        <w:t>Tên giao dịch quốc tế: VIETTRONICS TAN BINH JOINT STOCK COMPANY; Tên viết tắt: VTB; Trụ sở chính đặt tại: 422 Hồ Văn Huê, phường 9, quận Phú Nhuận, Thành phố Hồ Chí Minh.</w:t>
      </w:r>
    </w:p>
    <w:p>
      <w:r>
        <w:rPr>
          <w:b/>
          <w:i w:val="0"/>
        </w:rPr>
        <w:t xml:space="preserve">Điều 3. </w:t>
      </w:r>
      <w:r>
        <w:rPr>
          <w:b w:val="0"/>
          <w:i w:val="0"/>
        </w:rPr>
        <w:t>Công ty cổ phần kinh doanh các ngành nghề:</w:t>
      </w:r>
    </w:p>
    <w:p>
      <w:r>
        <w:rPr>
          <w:b w:val="0"/>
          <w:i w:val="0"/>
        </w:rPr>
        <w:t>Sản xuất, lắp ráp, bảo hành và kinh doanh các sản phẩm điện, điện tử và tin học;</w:t>
      </w:r>
    </w:p>
    <w:p>
      <w:r>
        <w:rPr>
          <w:b w:val="0"/>
          <w:i w:val="0"/>
        </w:rPr>
        <w:t>Kinh doanh bất động sản, văn phòng cho thuê;</w:t>
      </w:r>
    </w:p>
    <w:p>
      <w:r>
        <w:rPr>
          <w:b w:val="0"/>
          <w:i w:val="0"/>
        </w:rPr>
        <w:t xml:space="preserve"> Kinh doanh các ngành nghề khác phù hợp với quy định của pháp luật.</w:t>
      </w:r>
    </w:p>
    <w:p>
      <w:r>
        <w:rPr>
          <w:b/>
          <w:i w:val="0"/>
        </w:rPr>
        <w:t xml:space="preserve">Điều 4. </w:t>
      </w:r>
      <w:r>
        <w:rPr>
          <w:b w:val="0"/>
          <w:i w:val="0"/>
        </w:rPr>
        <w:t>Công ty cổ phần Điện tử Tân Bình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Điện tử và Tin học Việt Nam có trách nhiệm chỉ đạo Công ty Điện tử Tân Bình tổ chức bán đấu giá cổ phần ra bên ngoài thông qua tổ chức tài chính trung gian và tổ chức Đại hội đồng cổ đông lần đầu Công ty cổ phần Điện tử Tân Bình theo đúng quy định hiện hành.</w:t>
      </w:r>
    </w:p>
    <w:p>
      <w:r>
        <w:rPr>
          <w:b w:val="0"/>
          <w:i w:val="0"/>
        </w:rPr>
        <w:t>Giám đốc và Kế toán trưởng Công ty Điện tử Tân Bình có trách nhiệm điều hành công việc của Công ty cho đến khi bàn giao toàn bộ vốn, tài sản, lao động, đất đai cho Hội đồng quản trị và Giám đốc Công ty cổ phần Điện tử Tân Bình.</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Điện tử và Tin học Việt Nam, Giám đốc Công ty Điện tử Tân Bình và Chủ tịch Hội đồng quản trị, Giám đốc Công ty cổ phần Điện tử Tân Bình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