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241/2003/QĐ-TTg Về việc phê duyệt Đề án tổng thể sắp xếp, đổi mới doanh nghiệp nhà nước trực thuộc Tổng công ty Xi măng Việt Nam đến năm 2005</w:t>
      </w:r>
    </w:p>
    <w:p>
      <w:r>
        <w:rPr>
          <w:b w:val="0"/>
          <w:i w:val="0"/>
        </w:rPr>
        <w:br/>
      </w:r>
      <w:r>
        <w:rPr>
          <w:b w:val="0"/>
          <w:i w:val="0"/>
        </w:rPr>
        <w:br/>
      </w:r>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241/QĐ-TTG </w:t>
      </w:r>
      <w:r>
        <w:rPr>
          <w:b w:val="0"/>
          <w:i w:val="0"/>
        </w:rPr>
        <w:br/>
      </w:r>
      <w:r>
        <w:rPr>
          <w:b w:val="0"/>
          <w:i w:val="0"/>
        </w:rPr>
        <w:br/>
      </w:r>
      <w:r>
        <w:rPr>
          <w:b w:val="0"/>
          <w:i/>
        </w:rPr>
        <w:br/>
      </w:r>
      <w:r>
        <w:rPr>
          <w:b w:val="0"/>
          <w:i/>
        </w:rPr>
        <w:t>Hà Nội, ngày 04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241/QĐ-TTG </w:t>
      </w:r>
      <w:r>
        <w:rPr>
          <w:b w:val="0"/>
          <w:i w:val="0"/>
        </w:rPr>
        <w:br/>
      </w:r>
      <w:r>
        <w:rPr>
          <w:b w:val="0"/>
          <w:i w:val="0"/>
        </w:rPr>
        <w:br/>
      </w:r>
      <w:r>
        <w:rPr>
          <w:b w:val="0"/>
          <w:i/>
        </w:rPr>
        <w:br/>
      </w:r>
      <w:r>
        <w:rPr>
          <w:b w:val="0"/>
          <w:i/>
        </w:rPr>
        <w:t>Hà Nội, ngày 04 tháng 03 năm 2003</w:t>
      </w:r>
      <w:r>
        <w:rPr>
          <w:b w:val="0"/>
          <w:i/>
        </w:rPr>
        <w:br/>
      </w:r>
      <w:r>
        <w:rPr>
          <w:b w:val="0"/>
          <w:i w:val="0"/>
        </w:rPr>
        <w:br/>
      </w:r>
      <w:r>
        <w:rPr>
          <w:b w:val="0"/>
          <w:i w:val="0"/>
        </w:rPr>
        <w:br/>
      </w:r>
    </w:p>
    <w:p>
      <w:r>
        <w:rPr>
          <w:b w:val="0"/>
          <w:i w:val="0"/>
        </w:rPr>
        <w:br/>
      </w:r>
      <w:r>
        <w:rPr>
          <w:b/>
          <w:i w:val="0"/>
        </w:rPr>
        <w:br/>
      </w:r>
      <w:r>
        <w:rPr>
          <w:b/>
          <w:i w:val="0"/>
        </w:rPr>
        <w:br/>
      </w:r>
      <w:r>
        <w:rPr>
          <w:b/>
          <w:i w:val="0"/>
        </w:rPr>
        <w:t xml:space="preserve">THỦ TƯỚNG CHÍNH </w:t>
      </w:r>
      <w:r>
        <w:rPr>
          <w:b/>
          <w:i w:val="0"/>
        </w:rPr>
        <w:br/>
      </w:r>
      <w:r>
        <w:br/>
      </w:r>
      <w:r>
        <w:rPr>
          <w:b/>
          <w:i w:val="0"/>
        </w:rPr>
        <w:t>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THỦ TƯỚNG CHÍNH </w:t>
      </w:r>
      <w:r>
        <w:rPr>
          <w:b w:val="0"/>
          <w:i w:val="0"/>
        </w:rPr>
        <w:br/>
      </w:r>
      <w:r>
        <w:br/>
      </w:r>
      <w:r>
        <w:rPr>
          <w:b w:val="0"/>
          <w:i w:val="0"/>
        </w:rPr>
        <w:t>PHỦ</w:t>
      </w:r>
      <w:r>
        <w:rPr>
          <w:b w:val="0"/>
          <w:i w:val="0"/>
        </w:rPr>
        <w:br/>
      </w:r>
      <w:r>
        <w:rPr>
          <w:b w:val="0"/>
          <w:i w:val="0"/>
        </w:rPr>
        <w:br/>
      </w:r>
      <w:r>
        <w:rPr>
          <w:b w:val="0"/>
          <w:i w:val="0"/>
        </w:rPr>
        <w:br/>
      </w:r>
    </w:p>
    <w:p>
      <w:r>
        <w:rPr>
          <w:b w:val="0"/>
          <w:i w:val="0"/>
        </w:rPr>
        <w:br/>
      </w:r>
      <w:r>
        <w:rPr>
          <w:b w:val="0"/>
          <w:i w:val="0"/>
        </w:rPr>
        <w:t xml:space="preserve">THỦ TƯỚNG CHÍNH </w:t>
      </w:r>
      <w:r>
        <w:rPr>
          <w:b w:val="0"/>
          <w:i w:val="0"/>
        </w:rPr>
        <w:br/>
      </w:r>
      <w:r>
        <w:br/>
      </w:r>
      <w:r>
        <w:rPr>
          <w:b w:val="0"/>
          <w:i w:val="0"/>
        </w:rPr>
        <w:t>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241/QĐ-TTG </w:t>
      </w:r>
      <w:r>
        <w:rPr>
          <w:b w:val="0"/>
          <w:i w:val="0"/>
        </w:rPr>
        <w:br/>
      </w:r>
      <w:r>
        <w:rPr>
          <w:b w:val="0"/>
          <w:i w:val="0"/>
        </w:rPr>
        <w:br/>
      </w:r>
      <w:r>
        <w:rPr>
          <w:b w:val="0"/>
          <w:i/>
        </w:rPr>
        <w:br/>
      </w:r>
      <w:r>
        <w:rPr>
          <w:b w:val="0"/>
          <w:i/>
        </w:rPr>
        <w:t>Hà Nội, ngày 04 tháng 03 năm 2003</w:t>
      </w:r>
      <w:r>
        <w:rPr>
          <w:b w:val="0"/>
          <w:i/>
        </w:rPr>
        <w:br/>
      </w:r>
      <w:r>
        <w:rPr>
          <w:b w:val="0"/>
          <w:i w:val="0"/>
        </w:rPr>
        <w:br/>
      </w:r>
    </w:p>
    <w:p>
      <w:pPr>
        <w:jc w:val="center"/>
      </w:pPr>
      <w:r>
        <w:rPr>
          <w:b w:val="0"/>
          <w:i w:val="0"/>
        </w:rPr>
        <w:br/>
      </w:r>
      <w:r>
        <w:rPr>
          <w:b w:val="0"/>
          <w:i w:val="0"/>
        </w:rPr>
        <w:t xml:space="preserve">Số: 241/QĐ-TTG </w:t>
      </w:r>
      <w:r>
        <w:rPr>
          <w:b w:val="0"/>
          <w:i w:val="0"/>
        </w:rPr>
        <w:br/>
      </w:r>
    </w:p>
    <w:p>
      <w:pPr>
        <w:jc w:val="center"/>
      </w:pPr>
      <w:r>
        <w:rPr>
          <w:b w:val="0"/>
          <w:i w:val="0"/>
        </w:rPr>
        <w:br/>
      </w:r>
      <w:r>
        <w:rPr>
          <w:b w:val="0"/>
          <w:i w:val="0"/>
        </w:rPr>
        <w:t>Hà Nội, ngày 04 tháng 03 năm 2003</w:t>
      </w:r>
      <w:r>
        <w:rPr>
          <w:b w:val="0"/>
          <w:i w:val="0"/>
        </w:rPr>
        <w:br/>
      </w:r>
    </w:p>
    <w:p>
      <w:r>
        <w:rPr>
          <w:b w:val="0"/>
          <w:i w:val="0"/>
        </w:rPr>
        <w:br/>
      </w:r>
      <w:r>
        <w:rPr>
          <w:b/>
          <w:i w:val="0"/>
        </w:rPr>
        <w:t xml:space="preserve">QUYẾT ĐỊNH </w:t>
      </w:r>
      <w:r>
        <w:rPr>
          <w:b w:val="0"/>
          <w:i w:val="0"/>
        </w:rPr>
        <w:br/>
      </w:r>
      <w:r>
        <w:rPr>
          <w:b/>
          <w:i w:val="0"/>
        </w:rPr>
        <w:t xml:space="preserve">về việc phê duyệt Đề án tổng thể sắp xếp, đổi mới doanh nghiệp nhà nước </w:t>
      </w:r>
      <w:r>
        <w:br/>
      </w:r>
      <w:r>
        <w:rPr>
          <w:b/>
          <w:i w:val="0"/>
        </w:rPr>
        <w:br/>
        <w:t xml:space="preserve">       trực thuộc Tổng công ty Xi măng Việt Nam đến năm 2005</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Xét đề nghị của Tổng công ty Xi măng Việt Nam, ý kiến của các Bộ : Tài chính, Kế hoạch và Đầu tư, Nội vụ, Lao động - Thương binh và Xã hội.</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trực thuộc Tổng công ty Xi măng Việt Nam giai đoạn 2002 - 2005 như phụ lục kèm theo.</w:t>
      </w:r>
      <w:r>
        <w:rPr>
          <w:b w:val="0"/>
          <w:i w:val="0"/>
        </w:rPr>
        <w:br/>
      </w:r>
      <w:r>
        <w:rPr>
          <w:b/>
          <w:i w:val="0"/>
        </w:rPr>
        <w:t xml:space="preserve">Điều 2. </w:t>
      </w:r>
      <w:r>
        <w:rPr>
          <w:b w:val="0"/>
          <w:i w:val="0"/>
        </w:rPr>
        <w:t>Chủ tịch Hội đồng quản trị Tổng công ty Xi măng Việt Nam có trách nhiệm chỉ đạo thực hiện việc sắp xếp, đổi mới doanh nghiệp nhà nước trực thuộc Tổng công ty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Tổng công ty Xi măng Việt Nam chủ trì xây dựng Đề án thí điểm thành lập Tập đoàn công nghiệp xi măng Việt Nam theo sự chỉ đạo của Bộ Xây dựng, trình Thủ tướng Chính phủ phê duyệt trong đầu quý III năm 2003.</w:t>
      </w:r>
      <w:r>
        <w:rPr>
          <w:b w:val="0"/>
          <w:i w:val="0"/>
        </w:rPr>
        <w:br/>
      </w:r>
      <w:r>
        <w:rPr>
          <w:b/>
          <w:i w:val="0"/>
        </w:rPr>
        <w:t xml:space="preserve">Điều 4. </w:t>
      </w:r>
      <w:r>
        <w:rPr>
          <w:b w:val="0"/>
          <w:i w:val="0"/>
        </w:rPr>
        <w:t>Bộ Tài chính, Bộ Kế hoạch và Đầu tư, Bộ Nội vụ, Bộ Lao động - Thương binh và Xã hội, Bộ Xây dựng và các Bộ, địa phương liên quan có trách nhiệm phối hợp với Tổng công ty Xi măng Việt Nam trong việc thực hiện Đề án nói trên.</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5. </w:t>
      </w:r>
      <w:r>
        <w:rPr>
          <w:b w:val="0"/>
          <w:i w:val="0"/>
        </w:rPr>
        <w:t>Quyết định này có hiệu lực sau 15 ngày, kể từ ngày ký.</w:t>
      </w:r>
      <w:r>
        <w:rPr>
          <w:b w:val="0"/>
          <w:i w:val="0"/>
        </w:rPr>
        <w:br/>
      </w:r>
      <w:r>
        <w:rPr>
          <w:b w:val="0"/>
          <w:i w:val="0"/>
        </w:rPr>
        <w:t>Chủ tịch Hội đồng Quản trị Tổng công ty Xi măng Việt Nam và Thủ trưởng các cơ quan liên quan chịu trách nhiệm thi hành Quyết định này ./.a</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