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242/2016/TT-BTC Quy định giá dịch vụ trong lĩnh vực chứng khoán áp dụng tại các tổ chức kinh doanh chứng khoán, ngân hàng</w:t>
        <w:br/>
        <w:t>thương mại tham gia vào thị trường chứng khoản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r>
              <w:br/>
            </w:r>
            <w:r>
              <w:br/>
            </w:r>
          </w:p>
        </w:tc>
      </w:tr>
    </w:tbl>
    <w:p>
      <w:pPr>
        <w:jc w:val="center"/>
      </w:pPr>
      <w:r>
        <w:rPr>
          <w:b/>
          <w:i w:val="0"/>
        </w:rPr>
        <w:t>THÔNG TƯ</w:t>
      </w:r>
    </w:p>
    <w:p>
      <w:pPr>
        <w:jc w:val="center"/>
      </w:pPr>
      <w:r>
        <w:rPr>
          <w:b/>
          <w:i w:val="0"/>
        </w:rPr>
        <w:t>Quy định giá dịch vụ trong lĩnh vực chứng khoán áp dụng tại các tổ chức kinh doanh chứng khoán, ngân hàng thương mại tham gia vào thị trường chứng khoán Việt Nam</w:t>
      </w:r>
      <w:r>
        <w:br/>
      </w:r>
      <w:r>
        <w:rPr>
          <w:b/>
          <w:i w:val="0"/>
        </w:rPr>
        <w:br/>
        <w:t xml:space="preserve">      </w:t>
      </w:r>
      <w:r>
        <w:rPr>
          <w:b/>
          <w:i w:val="0"/>
        </w:rPr>
        <w:t xml:space="preserve">                      </w:t>
      </w:r>
    </w:p>
    <w:p>
      <w:pPr>
        <w:jc w:val="both"/>
      </w:pPr>
      <w:r>
        <w:rPr>
          <w:b w:val="0"/>
          <w:i/>
        </w:rPr>
        <w:t>Căn cứ Luật chứng khoán ngày 29 tháng 6 năm 2006; Luật sửa đổi, bổ sung một số điều của Luật chứng khoán ngày 24 tháng 11 năm 2010;</w:t>
      </w:r>
    </w:p>
    <w:p>
      <w:pPr>
        <w:jc w:val="both"/>
      </w:pPr>
      <w:r>
        <w:rPr>
          <w:b w:val="0"/>
          <w:i/>
        </w:rPr>
        <w:t>Căn cứ Luật phí và lệ phí ngày 25 tháng 11 năm 2015;</w:t>
      </w:r>
    </w:p>
    <w:p>
      <w:pPr>
        <w:jc w:val="both"/>
      </w:pPr>
      <w:r>
        <w:rPr>
          <w:b w:val="0"/>
          <w:i/>
        </w:rPr>
        <w:t>Căn cứ Luật giá ngày 20 tháng 6 năm 2012;</w:t>
      </w:r>
    </w:p>
    <w:p>
      <w:pPr>
        <w:jc w:val="both"/>
      </w:pPr>
      <w:r>
        <w:rPr>
          <w:b w:val="0"/>
          <w:i/>
        </w:rPr>
        <w:t>Căn cứ Nghị định số 177/2013/NĐ-CP ngày 14 tháng 11 năm 2013 và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Nghị định số 58/2012/NĐ-CP ngày 20 tháng 7 năm 2012 và Nghị định số 60/2015/NĐ-CP ngày 26 tháng 6 năm 2015 của Chính phủ sửa đổi, bổ sung một số điều của Nghị định số 58/2012/NĐ-CP ngày 20 tháng 7 năm 2012 quy định chi tiết và hướng dẫn thi hành một số điều của Luật chứng khoán và Luật sửa đổi, bổ sung một số điều của Luật chứng khoán;</w:t>
      </w:r>
    </w:p>
    <w:p>
      <w:pPr>
        <w:jc w:val="both"/>
      </w:pPr>
      <w:r>
        <w:rPr>
          <w:b w:val="0"/>
          <w:i/>
        </w:rPr>
        <w:t>Căn cứ Nghị định số 86/2016/NĐ-CP ngày 01 tháng 07 năm 2016 của Chính phủ quy định điều kiện đầu tư, kinh doanh chứng khoán;</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Theo đề nghị của Cục trưởng Cục Quản lý giá và Chủ tịch ủy ban chứng khoán Nhà nước,</w:t>
      </w:r>
    </w:p>
    <w:p>
      <w:pPr>
        <w:jc w:val="both"/>
      </w:pPr>
      <w:r>
        <w:rPr>
          <w:b w:val="0"/>
          <w:i/>
        </w:rPr>
        <w:t>Bộ trưởng Bộ Tài chính ban hành Thông tư quy định giá dịch vụ trong lĩnh vực chứng khoán áp dụng tại các tổ chức kinh doanh chứng khoán, ngân hàng thương mại tham gia vào thị trường chứng khoán Việt Nam.</w:t>
      </w:r>
    </w:p>
    <w:p>
      <w:pPr>
        <w:jc w:val="both"/>
      </w:pPr>
      <w:r>
        <w:rPr>
          <w:b/>
          <w:i w:val="0"/>
        </w:rPr>
        <w:t>Điều 1. Phạm vi điều chỉnh</w:t>
      </w:r>
    </w:p>
    <w:p>
      <w:pPr>
        <w:jc w:val="both"/>
      </w:pPr>
      <w:r>
        <w:rPr>
          <w:b w:val="0"/>
          <w:i w:val="0"/>
        </w:rPr>
        <w:t>Thông tư này quy định giá dịch vụ trong lĩnh vực chứng khoán áp dụng tại các tổ chức kinh doanh chứng khoán, ngân hàng thương mại tham gia vào thị trường chứng khoán Việt Nam.</w:t>
      </w:r>
    </w:p>
    <w:p>
      <w:pPr>
        <w:jc w:val="both"/>
      </w:pPr>
      <w:r>
        <w:rPr>
          <w:b/>
          <w:i w:val="0"/>
        </w:rPr>
        <w:t xml:space="preserve">Điều 2. Đối tượng áp dụng </w:t>
      </w:r>
    </w:p>
    <w:p>
      <w:pPr>
        <w:jc w:val="both"/>
      </w:pPr>
      <w:r>
        <w:rPr>
          <w:b w:val="0"/>
          <w:i w:val="0"/>
        </w:rPr>
        <w:t>1. Các tổ chức cung cấp dịch vụ trong lĩnh vực chứng khoán bao gồm: các tổ chức kinh doanh chứng khoán (công ty chứng khoán, công ty quản lý quỹ, chi nhánh công ty chứng khoán nước ngoài tại Việt Nam, chi nhánh công ty quản lý quỹ nước ngoài tại Việt Nam), ngân hàng thương mại tham gia vào thị trường chứng khoán Việt Nam theo quy định của pháp luật.</w:t>
      </w:r>
    </w:p>
    <w:p>
      <w:pPr>
        <w:jc w:val="both"/>
      </w:pPr>
      <w:r>
        <w:rPr>
          <w:b w:val="0"/>
          <w:i w:val="0"/>
        </w:rPr>
        <w:t>2. Các tổ chức, cá nhân sử dụng dịch vụ trong lĩnh vực chứng khoán được cung cấp bởi các tổ chức cung cấp dịch vụ chứng khoán nêu tại khoản 1 Điều này.</w:t>
      </w:r>
    </w:p>
    <w:p>
      <w:pPr>
        <w:jc w:val="both"/>
      </w:pPr>
      <w:r>
        <w:rPr>
          <w:b w:val="0"/>
          <w:i w:val="0"/>
        </w:rPr>
        <w:t>3. Các tổ chức, cá nhân khác có liên quan.</w:t>
      </w:r>
    </w:p>
    <w:p>
      <w:pPr>
        <w:jc w:val="both"/>
      </w:pPr>
      <w:r>
        <w:rPr>
          <w:b/>
          <w:i w:val="0"/>
        </w:rPr>
        <w:t>Điều 3. Giá dịch vụ trong lĩnh vực chứng khoán</w:t>
      </w:r>
    </w:p>
    <w:p>
      <w:pPr>
        <w:jc w:val="both"/>
      </w:pPr>
      <w:r>
        <w:rPr>
          <w:b w:val="0"/>
          <w:i w:val="0"/>
        </w:rPr>
        <w:t>1. Giá dịch vụ trong lĩnh vực chứng khoán áp dụng tại các tổ chức kinh doanh chứng khoán, ngân hàng thương mại tham gia vào thị trường chứng khoán được quy định chi tiết tại Biếu giá và Phụ lục ban hành kèm theo Thông tư này.</w:t>
      </w:r>
    </w:p>
    <w:p>
      <w:pPr>
        <w:jc w:val="both"/>
      </w:pPr>
      <w:r>
        <w:rPr>
          <w:b w:val="0"/>
          <w:i w:val="0"/>
        </w:rPr>
        <w:t xml:space="preserve">Căn cứ vào mức giá tối đa, khung giá quy định tại Thông tư này, các tổ chức cung cấp dịch vụ trong lĩnh vực chứng khoán quy định tại Điều 2 Thông tư này quyết định mức giá cụ thể phù hợp với thực tế cung ứng dịch vụ và quy định của pháp luật về giá, pháp luật có liên quan. </w:t>
      </w:r>
    </w:p>
    <w:p>
      <w:pPr>
        <w:jc w:val="both"/>
      </w:pPr>
      <w:r>
        <w:rPr>
          <w:b w:val="0"/>
          <w:i w:val="0"/>
        </w:rPr>
        <w:t xml:space="preserve">2. Giá dịch vụ trong lĩnh vực chứng khoán quy định tại Thông tư này là giá không chịu thuế giá trị gia tăng theo quy định tại điểm c khoản 8 Điều 5 Luật Thuế giá trị gia tăng và văn bản sửa đổi, bổ sung (nếu có). </w:t>
      </w:r>
    </w:p>
    <w:p>
      <w:pPr>
        <w:jc w:val="both"/>
      </w:pPr>
      <w:r>
        <w:rPr>
          <w:b w:val="0"/>
          <w:i w:val="0"/>
        </w:rPr>
        <w:t xml:space="preserve">3. Khi thu tiền dịch vụ trong lĩnh vực chứng khoán, tổ chức kinh doanh chứng khoán, ngân hàng thương mại sử dụng hóa đơn cung ứng dịch vụ theo quy định tại Nghị định số 51/2010/NĐ-CP ngày 14 tháng 5 năm 2010 của Chính phủ quy định về hóa đơn bán hàng hóa, cung ứng dịch vụ; Nghị định số 04/2014/NĐ-CP ngày 17 tháng 01 năm 2014 của Chính phủ sửa đổi, bổ sung một số điều của Nghị định số 51/2010/NĐ-CP ngày 14 tháng 5 năm 2010 của Chính phủ quy định về hóa đơn bán hàng hóa, cung ứng dịch vụ; Thông tư số 39/2014/TT-BTC ngày 31 tháng 3 năm 2014 của Bộ trưởng Bộ Tài chính hướng dẫn thi hành Nghị định số 51/2010/NĐ-CP ngày 14 tháng 5 năm 2010 và Nghị định số 04/2014/NĐ-CP ngày 17 tháng 01 năm 2014 của Chính phủ quy định về hóa đơn bán hàng hóa, cung ứng dịch vụ và văn bản thay thế hoặc văn bản đã được sửa đổi, bổ sung (nếu có). </w:t>
      </w:r>
    </w:p>
    <w:p>
      <w:pPr>
        <w:jc w:val="both"/>
      </w:pPr>
      <w:r>
        <w:rPr>
          <w:b w:val="0"/>
          <w:i w:val="0"/>
        </w:rPr>
        <w:t xml:space="preserve">4. Nguồn thu từ cung ứng dịch vụ, sau khi thực hiện nghĩa vụ với ngân sách nhà nước theo quy định của pháp luật thì phần còn lại tổ chức kinh doanh chứng khoán, ngân hàng thương mại tham gia vào thị trường chứng khoán quản lý, sử dụng theo quy định của pháp luật. </w:t>
      </w:r>
    </w:p>
    <w:p>
      <w:pPr>
        <w:jc w:val="both"/>
      </w:pPr>
      <w:r>
        <w:rPr>
          <w:b w:val="0"/>
          <w:i w:val="0"/>
        </w:rPr>
        <w:t xml:space="preserve">5. Đối với các dịch vụ khác không quy định tại Biểu giá, các tổ chức kinh doanh chứng khoán, ngân hàng thương mại tham gia vào thị trường chứng khoán được tự định giá dịch vụ do mình cung ứng phù họp với thực tế cung ứng dịch vụ và quy định của pháp luật về giá, pháp luật có liên quan. </w:t>
      </w:r>
    </w:p>
    <w:p>
      <w:pPr>
        <w:jc w:val="both"/>
      </w:pPr>
      <w:r>
        <w:rPr>
          <w:b w:val="0"/>
          <w:i w:val="0"/>
        </w:rPr>
        <w:t>6. Các tổ chức cung cấp dịch vụ trong lĩnh vực chứng khoán phải thực hiện niêm yết giá, công khai giá, chấp hành theo quy định của pháp luật về giá, pháp luật về chứng khoán và văn bản hướng dẫn có liên quan.</w:t>
      </w:r>
    </w:p>
    <w:p>
      <w:pPr>
        <w:jc w:val="both"/>
      </w:pPr>
      <w:r>
        <w:rPr>
          <w:b/>
          <w:i w:val="0"/>
        </w:rPr>
        <w:t>Điều 4. Điều khoản thi hành</w:t>
      </w:r>
    </w:p>
    <w:p>
      <w:pPr>
        <w:jc w:val="both"/>
      </w:pPr>
      <w:r>
        <w:rPr>
          <w:b w:val="0"/>
          <w:i w:val="0"/>
        </w:rPr>
        <w:t>1. Thông tư này có hiệu lực thi hành kể từ ngày 01 tháng 01 năm 2017 và thay thế Thông tư số 38/2011/TT-BTC ngày 16 tháng 3 năm 2011 của Bộ trưởng Bộ Tài chính quy định mức thu, chế độ thu nộp, quản lý và sử dụng phí hoạt động chứng khoán áp dụng tại các tổ chức kinh doanh dịch vụ chứng khoán; Thông tư số 216/2013/TT-BTC ngày 31 tháng 12 năm 2013 của Bộ trưởng Bộ Tài chính sửa đổi Thông tư số 38/2011/TT-BTC ngày 16 tháng 3 năm 2011; khoản 4 Điều 14 Thông tư 183/2011/TT-BTC ngày 16 tháng 12 năm 2011 của Bộ trưởng Bộ Tài chính hướng dẫn về việc thành lập và quản lý quỹ mở và khoản 8 Điều 1 Thông tư số 15/2016/TT-BTC ngày 20 tháng 1 năm 2016 của Bộ trưởng Bộ Tài chính sửa đổi, bổ sung một số điều của Thông tư 183/2011/TT-BTC.</w:t>
      </w:r>
    </w:p>
    <w:p>
      <w:pPr>
        <w:jc w:val="both"/>
      </w:pPr>
      <w:r>
        <w:rPr>
          <w:b w:val="0"/>
          <w:i w:val="0"/>
        </w:rPr>
        <w:t>2.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