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243/2003/QĐ-BCN Về việc chuyển Nhà máy In và Văn hoá phẩm Phúc Yên thành Công ty cổ phần In Phúc Yên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243/2003/QĐ-BCN</w:t>
        <w:br/>
        <w:t xml:space="preserve">     </w:t>
      </w:r>
      <w:r>
        <w:rPr>
          <w:b w:val="0"/>
          <w:i w:val="0"/>
        </w:rPr>
        <w:br/>
      </w:r>
      <w:r>
        <w:rPr>
          <w:b w:val="0"/>
          <w:i/>
        </w:rPr>
        <w:br/>
        <w:t xml:space="preserve">      Ngày 30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243/2003/QĐ-BCN</w:t>
        <w:br/>
        <w:t xml:space="preserve">     </w:t>
      </w:r>
      <w:r>
        <w:rPr>
          <w:b w:val="0"/>
          <w:i w:val="0"/>
        </w:rPr>
        <w:br/>
      </w:r>
      <w:r>
        <w:rPr>
          <w:b w:val="0"/>
          <w:i/>
        </w:rPr>
        <w:br/>
        <w:t xml:space="preserve">      Ngày 30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243/2003/QĐ-BCN</w:t>
        <w:br/>
        <w:t xml:space="preserve">     </w:t>
      </w:r>
      <w:r>
        <w:rPr>
          <w:b w:val="0"/>
          <w:i w:val="0"/>
        </w:rPr>
        <w:br/>
      </w:r>
      <w:r>
        <w:rPr>
          <w:b w:val="0"/>
          <w:i/>
        </w:rPr>
        <w:br/>
        <w:t xml:space="preserve">      Ngày 30 tháng 12 năm 2003</w:t>
        <w:br/>
        <w:t xml:space="preserve">     </w:t>
      </w:r>
      <w:r>
        <w:rPr>
          <w:b w:val="0"/>
          <w:i w:val="0"/>
        </w:rPr>
        <w:br/>
      </w:r>
    </w:p>
    <w:p>
      <w:pPr>
        <w:jc w:val="center"/>
      </w:pPr>
      <w:r>
        <w:rPr>
          <w:b w:val="0"/>
          <w:i w:val="0"/>
        </w:rPr>
        <w:br/>
        <w:t xml:space="preserve">      Số: 243/2003/QĐ-BCN</w:t>
        <w:br/>
        <w:t xml:space="preserve">     </w:t>
      </w:r>
    </w:p>
    <w:p>
      <w:pPr>
        <w:jc w:val="center"/>
      </w:pPr>
      <w:r>
        <w:rPr>
          <w:b w:val="0"/>
          <w:i w:val="0"/>
        </w:rPr>
        <w:br/>
        <w:t xml:space="preserve">      Ngày 30 tháng 12 năm 2003</w:t>
        <w:br/>
        <w:t xml:space="preserve">     </w:t>
      </w:r>
    </w:p>
    <w:p>
      <w:r>
        <w:rPr>
          <w:b/>
          <w:i w:val="0"/>
        </w:rPr>
        <w:t>QUYẾT ĐỊNH CỦA BỘ TRƯỞNG BỘ CÔNG NGHIỆP</w:t>
      </w:r>
    </w:p>
    <w:p>
      <w:r>
        <w:rPr>
          <w:b/>
          <w:i/>
        </w:rPr>
        <w:t xml:space="preserve">Về việc chuyển Nhà máy In và Văn hoá phẩm Phúc Yên </w:t>
      </w:r>
    </w:p>
    <w:p>
      <w:r>
        <w:rPr>
          <w:b/>
          <w:i/>
        </w:rPr>
        <w:t xml:space="preserve">thành Công ty cổ phần In Phúc Yên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Giấy Việt Nam (Công văn số 2014/CV-HĐQT ngày 22 tháng 12 năm 2003), Phương án cổ phần hoá Nhà máy In và Văn hoá phẩm Phúc Yên và Biên bản thẩm định Phương án của Ban Đổi mới và Phát triển doanh nghiệp Bộ ngày 23 tháng 12 năm 2003;</w:t>
      </w:r>
    </w:p>
    <w:p>
      <w:r>
        <w:rPr>
          <w:b w:val="0"/>
          <w:i/>
        </w:rPr>
        <w:t xml:space="preserve">Theo đề nghị của Ban Đổi mới và Phát triển doanh nghiệp và Vụ trưởng Vụ Tổ chức - Cán bộ, </w:t>
      </w:r>
    </w:p>
    <w:p>
      <w:r>
        <w:rPr>
          <w:b/>
          <w:i w:val="0"/>
        </w:rPr>
        <w:t>QUYẾT ĐỊNH:</w:t>
      </w:r>
    </w:p>
    <w:p>
      <w:r>
        <w:rPr>
          <w:b/>
          <w:i w:val="0"/>
        </w:rPr>
        <w:t>Điều 1. Phê duyệt Phương án cổ phần hoá Nhà máy In và Văn hoá phẩm Phúc Yên (doanh nghiệp thành viên hạch toán độc lập của Tổng công ty Giấy Việt Nam) gồm những điểm chính như sau:</w:t>
      </w:r>
    </w:p>
    <w:p>
      <w:r>
        <w:rPr>
          <w:b w:val="0"/>
          <w:i w:val="0"/>
        </w:rPr>
        <w:t>1. Cơ cấu vốn điều lệ: Vốn điều lệ của Công ty cổ phần là 7.000.000.000 đồng (Bảy tỷ đồng chẵn). Trong đó: Tỷ lệ cổ phần của Nhà nước: 35,00 %; Tỷ lệ cổ phần bán cho người lao động trong Nhà máy: 56,50 %; Tỷ lệ cổ phần bán ra ngoài Nhà máy: 8,50 %. Trị giá một cổ phần: 100.000 đồng.</w:t>
      </w:r>
    </w:p>
    <w:p>
      <w:r>
        <w:rPr>
          <w:b w:val="0"/>
          <w:i w:val="0"/>
        </w:rPr>
        <w:t>2. Giá trị thực tế của Nhà máy In và Văn hoá phẩm Phúc Yên tại thời điểm ngày 01 tháng 01 năm 2003 để cổ phần hoá (Quyết định số 3344/QĐ-TCKT ngày 12 tháng 12 năm 2003 của Bộ Công nghiệp) là 12.271.145.912 đồng. Trong đó, giá trị thực tế phần vốn Nhà nước tại Nhà máy là 7.366.193.631 đồng.</w:t>
      </w:r>
    </w:p>
    <w:p>
      <w:r>
        <w:rPr>
          <w:b w:val="0"/>
          <w:i w:val="0"/>
        </w:rPr>
        <w:t>3. Ưu đãi cho người lao động trong Nhà máy. Tổng số cổ phần bán ưu đãi cho 158 lao động trong Nhà máy là 25.848 cổ phần với giá trị được ưu đãi là 775.440.000 đồng. Trong đó, số cổ phần bán ưu đãi trả chậm cho 38 lao động nghèo là 5.170 cổ phần, trị giá 361.900.000 đồng.</w:t>
      </w:r>
    </w:p>
    <w:p>
      <w:r>
        <w:rPr>
          <w:b w:val="0"/>
          <w:i w:val="0"/>
        </w:rPr>
        <w:t>4. Về chi phí cổ phần hoá, đào tạo lại lao động và giải quyết lao động dôi dư, Nhà máy làm thủ tục, báo cáo Tổng công ty Giấy Việt Nam và các cơ quan Nhà nước có thẩm quyền phê duyệt theo các quy định hiện hành.</w:t>
      </w:r>
    </w:p>
    <w:p>
      <w:r>
        <w:rPr>
          <w:b/>
          <w:i w:val="0"/>
        </w:rPr>
        <w:t>Điều 2. Chuyển Nhà máy In và Văn hoá phẩm Phúc Yên thành Công ty cổ phần In Phúc Yên,</w:t>
      </w:r>
    </w:p>
    <w:p>
      <w:r>
        <w:rPr>
          <w:b w:val="0"/>
          <w:i w:val="0"/>
        </w:rPr>
        <w:t>Tên giao dịch quốc tế: PHUCYEN PRINTING JOINT STOCK COMPANY; Tên viết tắt: PPCO; Trụ sở đặt tại: đường Trần Phú, thị trấn Phúc Yên, huyện Mê Linh, tỉnh Vĩnh Phúc.</w:t>
      </w:r>
    </w:p>
    <w:p>
      <w:r>
        <w:rPr>
          <w:b/>
          <w:i w:val="0"/>
        </w:rPr>
        <w:t>Điều 3. Công ty cổ phần kinh doanh các ngành nghề:</w:t>
      </w:r>
    </w:p>
    <w:p>
      <w:r>
        <w:rPr>
          <w:b w:val="0"/>
          <w:i w:val="0"/>
        </w:rPr>
        <w:t>Sản xuất kinh doanh các sản phẩm từ giấy, các sản phẩm in và bao bì; Kinh doanh và xuất nhập khẩu các vật tư, thiết bị ngành in và giấy; Dịch vụ cho thuê nhà; Kinh doanh các ngành nghề khác phù hợp với quy định của pháp luật.</w:t>
      </w:r>
    </w:p>
    <w:p>
      <w:r>
        <w:rPr>
          <w:b/>
          <w:i w:val="0"/>
        </w:rPr>
        <w:t>Điều 4. Công ty cổ phần In Phúc Yên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 Tổng công ty Giấy Việt Nam có trách nhiệm chỉ đạo Nhà máy In và Văn hoá phẩm Phúc Yên tổ chức bán cổ phần và tổ chức Đại hội đồng cổ đông lần đầu Công ty cổ phần theo đúng quy định hiện hành.</w:t>
      </w:r>
    </w:p>
    <w:p>
      <w:r>
        <w:rPr>
          <w:b w:val="0"/>
          <w:i w:val="0"/>
        </w:rPr>
        <w:t>Giám đốc và Kế toán trưởng Nhà máy In và Văn hoá phẩm Phúc Yên có trách nhiệm điều hành công việc của Nhà máy cho đến khi bàn giao toàn bộ vốn, tài sản, lao động, đất đai cho Hội đồng quản trị và Giám đốc Công ty cổ phần.</w:t>
      </w:r>
    </w:p>
    <w:p>
      <w:r>
        <w:rPr>
          <w:b/>
          <w:i w:val="0"/>
        </w:rPr>
        <w:t>Điều 6. 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Giấy Việt Nam, Giám đốc Nhà máy In và Văn hoá phẩm Phúc Yên và Chủ tịch Hội đồng quản trị, Giám đốc Công ty cổ phần In Phúc Yên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