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244/QĐ-BTC Về việc ban hành quy chế tạm thời tổ chức giao dịch chứng khoán tại trung tâm giao dịch chứng khoán Hà Nội</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244/QĐ-BTC</w:t>
      </w:r>
      <w:r>
        <w:rPr>
          <w:b w:val="0"/>
          <w:i w:val="0"/>
        </w:rPr>
        <w:br/>
      </w:r>
      <w:r>
        <w:rPr>
          <w:b w:val="0"/>
          <w:i w:val="0"/>
        </w:rPr>
        <w:br/>
      </w:r>
      <w:r>
        <w:rPr>
          <w:b w:val="0"/>
          <w:i/>
        </w:rPr>
        <w:t>Hà Nội, ngày 20 tháng 01 năm 2005</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quy chế tạm thời tổ chức giao dịch chứng khoán tại trung tâm giao dịch chứng khoán Hà Nội</w:t>
      </w:r>
      <w:r>
        <w:rPr>
          <w:b w:val="0"/>
          <w:i w:val="0"/>
        </w:rPr>
        <w:br/>
      </w:r>
      <w:r>
        <w:rPr>
          <w:b/>
          <w:i w:val="0"/>
        </w:rPr>
        <w:t>BỘ TRƯỞNG BỘ TÀI CHÍNH</w:t>
      </w:r>
      <w:r>
        <w:rPr>
          <w:b w:val="0"/>
          <w:i w:val="0"/>
        </w:rPr>
        <w:br/>
      </w:r>
      <w:r>
        <w:rPr>
          <w:b w:val="0"/>
          <w:i/>
        </w:rPr>
        <w:t>Căn cứ Nghị định số 77/2003/NĐ-CP ngày 01 tháng 07 năm 2003 của Chính phủ quy định chức năng, nhiệm vụ, quyền hạn và cơ cấu tổ chức của Bộ Tài chính;</w:t>
      </w:r>
      <w:r>
        <w:rPr>
          <w:b w:val="0"/>
          <w:i w:val="0"/>
        </w:rPr>
        <w:br/>
      </w:r>
      <w:r>
        <w:rPr>
          <w:b w:val="0"/>
          <w:i/>
        </w:rPr>
        <w:t xml:space="preserve">Căn cứ Nghị định số 144/NĐ-CP ngày 28 tháng 11 năm 2003 của Chính phủ về Chứng khoán và Thị trường Chứng khoán; </w:t>
      </w:r>
      <w:r>
        <w:rPr>
          <w:b w:val="0"/>
          <w:i w:val="0"/>
        </w:rPr>
        <w:br/>
      </w:r>
      <w:r>
        <w:rPr>
          <w:b w:val="0"/>
          <w:i/>
        </w:rPr>
        <w:t>Căn cứ Quyết định số 127/1998/QĐ-TTg ngày 11 tháng 07 năm 1998 của Thủ tướng Chính phủ về việc thành lập Trung tâm Giao dịch Chứng khoán;</w:t>
      </w:r>
      <w:r>
        <w:rPr>
          <w:b w:val="0"/>
          <w:i w:val="0"/>
        </w:rPr>
        <w:br/>
      </w:r>
      <w:r>
        <w:rPr>
          <w:b w:val="0"/>
          <w:i/>
        </w:rPr>
        <w:t xml:space="preserve"> Theo đề nghị của Chủ tịch Uỷ ban chứng khoán Nhà nước,</w:t>
      </w:r>
      <w:r>
        <w:rPr>
          <w:b w:val="0"/>
          <w:i w:val="0"/>
        </w:rPr>
        <w:br/>
      </w:r>
      <w:r>
        <w:rPr>
          <w:b/>
          <w:i w:val="0"/>
        </w:rPr>
        <w:t>QUYẾT ĐỊNH</w:t>
      </w:r>
      <w:r>
        <w:rPr>
          <w:b w:val="0"/>
          <w:i w:val="0"/>
        </w:rPr>
        <w:br/>
      </w:r>
      <w:r>
        <w:rPr>
          <w:b/>
          <w:i/>
        </w:rPr>
        <w:t>Điều 1</w:t>
      </w:r>
      <w:r>
        <w:rPr>
          <w:b/>
          <w:i w:val="0"/>
        </w:rPr>
        <w:t>:</w:t>
      </w:r>
      <w:r>
        <w:rPr>
          <w:b w:val="0"/>
          <w:i w:val="0"/>
        </w:rPr>
        <w:t xml:space="preserve"> Ban hành kèm theo Quyết định này Quy chế tạm thời tổ chức giao dịch chứng khoán tại Trung tâm Giao dịch Chứng khoán Hà Nội.</w:t>
      </w:r>
      <w:r>
        <w:rPr>
          <w:b w:val="0"/>
          <w:i w:val="0"/>
        </w:rPr>
        <w:br/>
      </w:r>
      <w:r>
        <w:rPr>
          <w:b/>
          <w:i/>
        </w:rPr>
        <w:t>Điều 2:</w:t>
      </w:r>
      <w:r>
        <w:rPr>
          <w:b w:val="0"/>
          <w:i w:val="0"/>
        </w:rPr>
        <w:t xml:space="preserve"> Quyết định này có hiệu lực thi hành kể từ ngày ký.</w:t>
      </w:r>
      <w:r>
        <w:rPr>
          <w:b w:val="0"/>
          <w:i w:val="0"/>
        </w:rPr>
        <w:br/>
      </w:r>
      <w:r>
        <w:rPr>
          <w:b/>
          <w:i/>
        </w:rPr>
        <w:t>Điều 3:</w:t>
      </w:r>
      <w:r>
        <w:rPr>
          <w:b w:val="0"/>
          <w:i w:val="0"/>
        </w:rPr>
        <w:t xml:space="preserve"> Chủ tịch Uỷ ban chứng khoán Nhà nước, Giám đốc Trung tâm Giao dịch Chứng khoán Hà Nội và các tổ chức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br/>
      </w:r>
      <w:r>
        <w:rPr>
          <w:b w:val="0"/>
          <w:i w:val="0"/>
        </w:rPr>
        <w:t>- Như Điều 3;</w:t>
      </w:r>
      <w:r>
        <w:br/>
      </w:r>
      <w:r>
        <w:rPr>
          <w:b w:val="0"/>
          <w:i w:val="0"/>
        </w:rPr>
        <w:t>- Vụ TCNH, Vụ PC, Cục TCDN;</w:t>
      </w:r>
      <w:r>
        <w:br/>
      </w:r>
      <w:r>
        <w:rPr>
          <w:b w:val="0"/>
          <w:i w:val="0"/>
        </w:rPr>
        <w:t>- Lưu VP, UBCKNN.</w:t>
      </w:r>
      <w:r>
        <w:rPr>
          <w:b w:val="0"/>
          <w:i w:val="0"/>
        </w:rPr>
        <w:br/>
      </w:r>
      <w:r>
        <w:rPr>
          <w:b w:val="0"/>
          <w:i w:val="0"/>
        </w:rPr>
        <w:br/>
      </w:r>
      <w:r>
        <w:rPr>
          <w:b/>
          <w:i w:val="0"/>
        </w:rPr>
        <w:t>KT. BỘ TRƯỞNG BỘ TÀI CHÍNH</w:t>
      </w:r>
      <w:r>
        <w:br/>
      </w:r>
      <w:r>
        <w:rPr>
          <w:b/>
          <w:i w:val="0"/>
        </w:rPr>
        <w:br/>
        <w:t xml:space="preserve">          THỨ TRƯỞNG</w:t>
      </w:r>
      <w:r>
        <w:rPr>
          <w:b w:val="0"/>
          <w:i w:val="0"/>
        </w:rPr>
        <w:t xml:space="preserve"> </w:t>
      </w:r>
      <w:r>
        <w:br/>
      </w:r>
      <w:r>
        <w:rPr>
          <w:b/>
          <w:i/>
        </w:rPr>
        <w:t>(Đã ký)</w:t>
      </w:r>
      <w:r>
        <w:rPr>
          <w:b w:val="0"/>
          <w:i w:val="0"/>
        </w:rPr>
        <w:br/>
      </w:r>
      <w:r>
        <w:rPr>
          <w:b/>
          <w:i w:val="0"/>
        </w:rPr>
        <w:t>Lê Thị Băng Tâm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CHẾ</w:t>
      </w:r>
      <w:r>
        <w:rPr>
          <w:b w:val="0"/>
          <w:i w:val="0"/>
        </w:rPr>
        <w:br/>
      </w:r>
      <w:r>
        <w:rPr>
          <w:b/>
          <w:i w:val="0"/>
        </w:rPr>
        <w:t>TẠM THỜI TỔ CHỨC GIAO DỊCH CHỨNG KHOÁN TẠI TRUNG TÂM GIAO DỊCH CHỨNG KHOÁN HÀ NỘI</w:t>
      </w:r>
      <w:r>
        <w:rPr>
          <w:b w:val="0"/>
          <w:i w:val="0"/>
        </w:rPr>
        <w:br/>
      </w:r>
      <w:r>
        <w:rPr>
          <w:b w:val="0"/>
          <w:i/>
        </w:rPr>
        <w:t>(Ban hành kèm theo Quyết định số 244 /QĐ-BTC ngày 20 tháng 01 năm 2005 của Bộ trưởng Bộ Tài chính)</w:t>
      </w:r>
      <w:r>
        <w:rPr>
          <w:b w:val="0"/>
          <w:i w:val="0"/>
        </w:rPr>
        <w:br/>
      </w:r>
      <w:r>
        <w:rPr>
          <w:b/>
          <w:i w:val="0"/>
        </w:rPr>
        <w:t>CHƯƠNG I</w:t>
      </w:r>
      <w:r>
        <w:br/>
      </w:r>
      <w:r>
        <w:rPr>
          <w:b/>
          <w:i w:val="0"/>
        </w:rPr>
        <w:t>QUY ĐỊNH CHUNG</w:t>
      </w:r>
      <w:r>
        <w:rPr>
          <w:b w:val="0"/>
          <w:i w:val="0"/>
        </w:rPr>
        <w:br/>
      </w:r>
      <w:r>
        <w:rPr>
          <w:b/>
          <w:i w:val="0"/>
        </w:rPr>
        <w:t>Điều 1. Chứng khoán đăng ký giao dịch</w:t>
      </w:r>
      <w:r>
        <w:rPr>
          <w:b w:val="0"/>
          <w:i w:val="0"/>
        </w:rPr>
        <w:br/>
      </w:r>
      <w:r>
        <w:rPr>
          <w:b w:val="0"/>
          <w:i w:val="0"/>
        </w:rPr>
        <w:t>1. Chứng khoán giao dịch tại Trung tâm Giao dịch Chứng khoán Hà Nội (TTGDCK Hà Nội) bao gồm cổ phiếu, trái phiếu chưa niêm yết.</w:t>
      </w:r>
      <w:r>
        <w:rPr>
          <w:b w:val="0"/>
          <w:i w:val="0"/>
        </w:rPr>
        <w:br/>
      </w:r>
      <w:r>
        <w:rPr>
          <w:b w:val="0"/>
          <w:i w:val="0"/>
        </w:rPr>
        <w:t>2. Các tổ chức phát hành thực hiện việc đăng ký giao dịch chứng khoán tại TTGDCK Hà Nội theo các điều kiện và thủ tục qui định tại Quy chế này.</w:t>
      </w:r>
      <w:r>
        <w:rPr>
          <w:b w:val="0"/>
          <w:i w:val="0"/>
        </w:rPr>
        <w:br/>
      </w:r>
      <w:r>
        <w:rPr>
          <w:b/>
          <w:i w:val="0"/>
        </w:rPr>
        <w:t>Điều 2. Thành viên TTGDCK Hà Nội</w:t>
      </w:r>
      <w:r>
        <w:rPr>
          <w:b w:val="0"/>
          <w:i w:val="0"/>
        </w:rPr>
        <w:br/>
      </w:r>
      <w:r>
        <w:rPr>
          <w:b w:val="0"/>
          <w:i w:val="0"/>
        </w:rPr>
        <w:t>1. Thành viên TTGDCK Hà Nội (sau đây gọi là thành viên) bao gồm các công ty chứng khoán được UBCKNN cấp phép hoạt động theo Nghị định số 144/2004/NĐ-CP ngày 28/11/2004 của Chính phủ về chứng khoán và thị trường chứng khoán (Nghị định số 144/NĐ-CP) và Thông tư số 58/2004/TT-BTC ngày 17/6/2004 của Bộ Tài chính về thành viên và giao dịch chứng khoán (Thông tư số 58/TT-BTC).</w:t>
      </w:r>
      <w:r>
        <w:rPr>
          <w:b w:val="0"/>
          <w:i w:val="0"/>
        </w:rPr>
        <w:br/>
      </w:r>
      <w:r>
        <w:rPr>
          <w:b w:val="0"/>
          <w:i w:val="0"/>
        </w:rPr>
        <w:t>2. Thành viên phải tuân thủ theo các qui định về thành viên tại Thông tư số 58/TT-BTC.</w:t>
      </w:r>
      <w:r>
        <w:rPr>
          <w:b w:val="0"/>
          <w:i w:val="0"/>
        </w:rPr>
        <w:br/>
      </w:r>
      <w:r>
        <w:rPr>
          <w:b/>
          <w:i w:val="0"/>
        </w:rPr>
        <w:t>Điều 3. Tổ chức giao dịch</w:t>
      </w:r>
      <w:r>
        <w:rPr>
          <w:b w:val="0"/>
          <w:i w:val="0"/>
        </w:rPr>
        <w:br/>
      </w:r>
      <w:r>
        <w:rPr>
          <w:b w:val="0"/>
          <w:i w:val="0"/>
        </w:rPr>
        <w:t>1. Giao dịch chứng khoán được thực hiện qua thành viên; thông tin về giao dịch phải được báo qua hệ thống giao dịch của TTGDCK Hà Nội để tổng hợp và đưa ra kết quả giao dịch chung.</w:t>
      </w:r>
      <w:r>
        <w:rPr>
          <w:b w:val="0"/>
          <w:i w:val="0"/>
        </w:rPr>
        <w:br/>
      </w:r>
      <w:r>
        <w:rPr>
          <w:b w:val="0"/>
          <w:i w:val="0"/>
        </w:rPr>
        <w:t>2. Nhà đầu tư nước ngoài thực hiện giao dịch chứng khoán đăng ký tại TTGDCK Hà Nội theo qui định tại Nghị định số 144/NĐ-CP và Thông tư 58/TT-BTC và qui định pháp luật hiện hành.</w:t>
      </w:r>
      <w:r>
        <w:rPr>
          <w:b w:val="0"/>
          <w:i w:val="0"/>
        </w:rPr>
        <w:br/>
      </w:r>
      <w:r>
        <w:rPr>
          <w:b/>
          <w:i w:val="0"/>
        </w:rPr>
        <w:t>Điều 4. Công bố thông tin</w:t>
      </w:r>
      <w:r>
        <w:rPr>
          <w:b w:val="0"/>
          <w:i w:val="0"/>
        </w:rPr>
        <w:br/>
      </w:r>
      <w:r>
        <w:rPr>
          <w:b w:val="0"/>
          <w:i w:val="0"/>
        </w:rPr>
        <w:t>1. TTGDCK Hà Nội, thành viên, tổ chức đăng ký giao dịch thực hiện công bố thông tin định kỳ theo qui định tại Nghị định số 144/NĐ-CP và Thông tư số 57/2004/TT-BTC ngày 17/6/2004 của Bộ Tài chính về công bố thông tin trên thị trường chứng khoán (Thông tư số 57/TT-BTC).</w:t>
      </w:r>
      <w:r>
        <w:rPr>
          <w:b w:val="0"/>
          <w:i w:val="0"/>
        </w:rPr>
        <w:br/>
      </w:r>
      <w:r>
        <w:rPr>
          <w:b w:val="0"/>
          <w:i w:val="0"/>
        </w:rPr>
        <w:t>2. Chủ tịch Uỷ ban Chứng khoán Nhà nước (UBCKNN) hướng dẫn thực hiện việc công bố thông bất thường theo qui định tại Nghị định số 144/NĐ-CP và Thông tư số 57/TT-BTC.</w:t>
      </w:r>
      <w:r>
        <w:rPr>
          <w:b w:val="0"/>
          <w:i w:val="0"/>
        </w:rPr>
        <w:br/>
      </w:r>
      <w:r>
        <w:rPr>
          <w:b/>
          <w:i w:val="0"/>
        </w:rPr>
        <w:t>Điều 5. Lưu ký - Đăng ký - Thanh toán - Bù trừ chứng khoán</w:t>
      </w:r>
      <w:r>
        <w:rPr>
          <w:b w:val="0"/>
          <w:i w:val="0"/>
        </w:rPr>
        <w:br/>
      </w:r>
      <w:r>
        <w:rPr>
          <w:b w:val="0"/>
          <w:i w:val="0"/>
        </w:rPr>
        <w:t>Các chứng khoán đăng ký giao dịch phải được lưu ký tập trung và thực hiện việc đăng ký - lưu ký - thanh toán - bù trừ chứng khoán theo quy định tại Nghị định số 144/NĐ-CP và Quyết định số 60/2004/QĐ-BTC ngày 15/7/2004 của Bộ trưởng Bộ Tài chính về việc ban hành Quy chế đăng ký, lưu ký, bù trừ và thanh toán chứng khoán (Quyết định số 60/QĐ-BTC).</w:t>
      </w:r>
      <w:r>
        <w:rPr>
          <w:b w:val="0"/>
          <w:i w:val="0"/>
        </w:rPr>
        <w:br/>
      </w:r>
      <w:r>
        <w:rPr>
          <w:b w:val="0"/>
          <w:i w:val="0"/>
        </w:rPr>
        <w:t>C</w:t>
      </w:r>
      <w:r>
        <w:rPr>
          <w:b/>
          <w:i w:val="0"/>
        </w:rPr>
        <w:t>HƯƠNG II</w:t>
      </w:r>
      <w:r>
        <w:br/>
      </w:r>
      <w:r>
        <w:rPr>
          <w:b/>
          <w:i w:val="0"/>
        </w:rPr>
        <w:t>QUY ĐỊNH CỤ THỂ</w:t>
      </w:r>
      <w:r>
        <w:rPr>
          <w:b w:val="0"/>
          <w:i w:val="0"/>
        </w:rPr>
        <w:br/>
      </w:r>
      <w:r>
        <w:rPr>
          <w:b/>
          <w:i w:val="0"/>
        </w:rPr>
        <w:t>Mục I. Đăng ký giao dịch chứng khoán</w:t>
      </w:r>
      <w:r>
        <w:rPr>
          <w:b w:val="0"/>
          <w:i w:val="0"/>
        </w:rPr>
        <w:br/>
      </w:r>
      <w:r>
        <w:rPr>
          <w:b/>
          <w:i w:val="0"/>
        </w:rPr>
        <w:t>Điều 6. Điều kiện đăng ký giao dịch</w:t>
      </w:r>
      <w:r>
        <w:rPr>
          <w:b w:val="0"/>
          <w:i w:val="0"/>
        </w:rPr>
        <w:br/>
      </w:r>
      <w:r>
        <w:rPr>
          <w:b w:val="0"/>
          <w:i w:val="0"/>
        </w:rPr>
        <w:t>1. Điều kiện đăng ký cổ phiếu</w:t>
      </w:r>
      <w:r>
        <w:rPr>
          <w:b w:val="0"/>
          <w:i w:val="0"/>
        </w:rPr>
        <w:br/>
      </w:r>
      <w:r>
        <w:rPr>
          <w:b w:val="0"/>
          <w:i w:val="0"/>
        </w:rPr>
        <w:t>1.1. Là công ty cổ phần có vốn điều lệ từ 5 tỷ đồng trở lên và có ít nhất 50 cổ đông;</w:t>
      </w:r>
      <w:r>
        <w:rPr>
          <w:b w:val="0"/>
          <w:i w:val="0"/>
        </w:rPr>
        <w:br/>
      </w:r>
      <w:r>
        <w:rPr>
          <w:b w:val="0"/>
          <w:i w:val="0"/>
        </w:rPr>
        <w:t>1.2. Có tình hình tài chính minh bạch và hoạt động sản xuất kinh doanh của năm liền trước năm đăng ký giao dịch phải có lãi;</w:t>
      </w:r>
      <w:r>
        <w:rPr>
          <w:b w:val="0"/>
          <w:i w:val="0"/>
        </w:rPr>
        <w:br/>
      </w:r>
      <w:r>
        <w:rPr>
          <w:b w:val="0"/>
          <w:i w:val="0"/>
        </w:rPr>
        <w:t>2. Điều kiện đăng ký trái phiếu</w:t>
      </w:r>
      <w:r>
        <w:rPr>
          <w:b w:val="0"/>
          <w:i w:val="0"/>
        </w:rPr>
        <w:br/>
      </w:r>
      <w:r>
        <w:rPr>
          <w:b w:val="0"/>
          <w:i w:val="0"/>
        </w:rPr>
        <w:t>2.1. Trái phiếu Chính phủ, trái phiếu được Chính phủ bảo lãnh, trái phiếu Chính quyền địa phương, trái phiếu doanh nghiệp chưa thực hiện niêm yết.</w:t>
      </w:r>
      <w:r>
        <w:rPr>
          <w:b w:val="0"/>
          <w:i w:val="0"/>
        </w:rPr>
        <w:br/>
      </w:r>
      <w:r>
        <w:rPr>
          <w:b w:val="0"/>
          <w:i w:val="0"/>
        </w:rPr>
        <w:t>2.2. Các trái phiếu của cùng một đợt phát hành có cùng ngày đáo hạn.</w:t>
      </w:r>
      <w:r>
        <w:rPr>
          <w:b w:val="0"/>
          <w:i w:val="0"/>
        </w:rPr>
        <w:br/>
      </w:r>
      <w:r>
        <w:rPr>
          <w:b/>
          <w:i w:val="0"/>
        </w:rPr>
        <w:t>Điều 7. Hồ sơ đăng ký giao dịch</w:t>
      </w:r>
      <w:r>
        <w:rPr>
          <w:b w:val="0"/>
          <w:i w:val="0"/>
        </w:rPr>
        <w:br/>
      </w:r>
      <w:r>
        <w:rPr>
          <w:b w:val="0"/>
          <w:i w:val="0"/>
        </w:rPr>
        <w:t>1. Hồ sơ đăng ký giao dịch đối với cổ phiếu, trái phiếu doanh nghiệp bao gồm:</w:t>
      </w:r>
      <w:r>
        <w:rPr>
          <w:b w:val="0"/>
          <w:i w:val="0"/>
        </w:rPr>
        <w:br/>
      </w:r>
      <w:r>
        <w:rPr>
          <w:b w:val="0"/>
          <w:i w:val="0"/>
        </w:rPr>
        <w:t>1. 1. Đơn đăng ký giao dịch cổ phiếu/trái phiếu doanh nghiệp (theo mẫu Phụ lục số 01 (a) / (b) kèm theo Quy chế này);</w:t>
      </w:r>
      <w:r>
        <w:rPr>
          <w:b w:val="0"/>
          <w:i w:val="0"/>
        </w:rPr>
        <w:br/>
      </w:r>
      <w:r>
        <w:rPr>
          <w:b w:val="0"/>
          <w:i w:val="0"/>
        </w:rPr>
        <w:t>1.2. Điều lệ công ty;</w:t>
      </w:r>
      <w:r>
        <w:rPr>
          <w:b w:val="0"/>
          <w:i w:val="0"/>
        </w:rPr>
        <w:br/>
      </w:r>
      <w:r>
        <w:rPr>
          <w:b w:val="0"/>
          <w:i w:val="0"/>
        </w:rPr>
        <w:t>1.3. Bản cáo bạch (theo mẫu Phụ lục số 02 kèm theo Quy chế này);</w:t>
      </w:r>
      <w:r>
        <w:rPr>
          <w:b w:val="0"/>
          <w:i w:val="0"/>
        </w:rPr>
        <w:br/>
      </w:r>
      <w:r>
        <w:rPr>
          <w:b w:val="0"/>
          <w:i w:val="0"/>
        </w:rPr>
        <w:t>1.4. Báo cáo tài chính năm liền trước năm đăng ký giao dịch có xác nhận của tổ chức kiểm toán.</w:t>
      </w:r>
      <w:r>
        <w:rPr>
          <w:b w:val="0"/>
          <w:i w:val="0"/>
        </w:rPr>
        <w:br/>
      </w:r>
      <w:r>
        <w:rPr>
          <w:b w:val="0"/>
          <w:i w:val="0"/>
        </w:rPr>
        <w:t>2. Hồ sơ đăng ký giao dịch đối với trái phiếu Chính phủ, trái phiếu được Chính phủ bảo lãnh, trái phiếu Chính quyền địa phương bao gồm:</w:t>
      </w:r>
      <w:r>
        <w:rPr>
          <w:b w:val="0"/>
          <w:i w:val="0"/>
        </w:rPr>
        <w:br/>
      </w:r>
      <w:r>
        <w:rPr>
          <w:b w:val="0"/>
          <w:i w:val="0"/>
        </w:rPr>
        <w:t>2.1. Văn bản đề nghị của tổ chức phát hành;</w:t>
      </w:r>
      <w:r>
        <w:rPr>
          <w:b w:val="0"/>
          <w:i w:val="0"/>
        </w:rPr>
        <w:br/>
      </w:r>
      <w:r>
        <w:rPr>
          <w:b w:val="0"/>
          <w:i w:val="0"/>
        </w:rPr>
        <w:t>2.2. Danh sách người sở hữu trái phiếu.</w:t>
      </w:r>
      <w:r>
        <w:rPr>
          <w:b w:val="0"/>
          <w:i w:val="0"/>
        </w:rPr>
        <w:br/>
      </w:r>
      <w:r>
        <w:rPr>
          <w:b/>
          <w:i w:val="0"/>
        </w:rPr>
        <w:t>Điều 8. Thủ tục đăng ký giao dịch</w:t>
      </w:r>
      <w:r>
        <w:rPr>
          <w:b w:val="0"/>
          <w:i w:val="0"/>
        </w:rPr>
        <w:br/>
      </w:r>
      <w:r>
        <w:rPr>
          <w:b w:val="0"/>
          <w:i w:val="0"/>
        </w:rPr>
        <w:t>Trong vòng 20 ngày làm việc kể từ ngày nhận được đầy đủ hồ sơ đăng ký giao dịch, TTGDCK Hà Nội có văn bản chấp thuận hoặc từ chối đăng ký giao dịch chứng khoán. Trường hợp từ chối đăng ký Trung tâm phải giải thích lý do.</w:t>
      </w:r>
      <w:r>
        <w:rPr>
          <w:b w:val="0"/>
          <w:i w:val="0"/>
        </w:rPr>
        <w:br/>
      </w:r>
      <w:r>
        <w:rPr>
          <w:b/>
          <w:i w:val="0"/>
        </w:rPr>
        <w:t>Mục II. Giao dịch chứng khoán</w:t>
      </w:r>
      <w:r>
        <w:rPr>
          <w:b w:val="0"/>
          <w:i w:val="0"/>
        </w:rPr>
        <w:br/>
      </w:r>
      <w:r>
        <w:rPr>
          <w:b/>
          <w:i w:val="0"/>
        </w:rPr>
        <w:t>Điều 9. Thời gian giao dịch</w:t>
      </w:r>
      <w:r>
        <w:rPr>
          <w:b w:val="0"/>
          <w:i w:val="0"/>
        </w:rPr>
        <w:br/>
      </w:r>
      <w:r>
        <w:rPr>
          <w:b w:val="0"/>
          <w:i w:val="0"/>
        </w:rPr>
        <w:t>1. Thời gian giao dịch chứng khoán thực hiện theo quyết định của Chủ tịch UBCKNN.</w:t>
      </w:r>
      <w:r>
        <w:rPr>
          <w:b w:val="0"/>
          <w:i w:val="0"/>
        </w:rPr>
        <w:br/>
      </w:r>
      <w:r>
        <w:rPr>
          <w:b w:val="0"/>
          <w:i w:val="0"/>
        </w:rPr>
        <w:t>2. Giao dịch chứng khoán có thể tạm ngừng theo quyết định của Chủ tịch UBCKNN khi xảy ra các trường hợp bất khả kháng. Trong trường hợp đó, TTGDCK Hà Nội phải thông báo tới từng thành viên và công bố thông tin trên thị trường.</w:t>
      </w:r>
      <w:r>
        <w:rPr>
          <w:b w:val="0"/>
          <w:i w:val="0"/>
        </w:rPr>
        <w:br/>
      </w:r>
      <w:r>
        <w:rPr>
          <w:b/>
          <w:i w:val="0"/>
        </w:rPr>
        <w:t>Điều 10. Phương thức giao dịch</w:t>
      </w:r>
      <w:r>
        <w:rPr>
          <w:b w:val="0"/>
          <w:i w:val="0"/>
        </w:rPr>
        <w:br/>
      </w:r>
      <w:r>
        <w:rPr>
          <w:b w:val="0"/>
          <w:i w:val="0"/>
        </w:rPr>
        <w:t>1. Phương thức thoả thuận:</w:t>
      </w:r>
      <w:r>
        <w:rPr>
          <w:b w:val="0"/>
          <w:i w:val="0"/>
        </w:rPr>
        <w:br/>
      </w:r>
      <w:r>
        <w:rPr>
          <w:b w:val="0"/>
          <w:i w:val="0"/>
        </w:rPr>
        <w:t>1.1. Trường hợp thoả thuận giữa hai khách hàng cùng thành viên; giữa khách hàng và thành viên: thành viên phải chuyển kết quả giao dịch thông qua hệ thống chuyển lệnh vào hệ thống giao dịch tại TTGDCK Hà Nội.</w:t>
      </w:r>
      <w:r>
        <w:rPr>
          <w:b w:val="0"/>
          <w:i w:val="0"/>
        </w:rPr>
        <w:br/>
      </w:r>
      <w:r>
        <w:rPr>
          <w:b w:val="0"/>
          <w:i w:val="0"/>
        </w:rPr>
        <w:t>1.2. Trường hợp thoả thuận giữa hai khách hàng khác thành viên; giữa hai thành viên: thành viên bên bán xác nhận giao dịch và thông báo kết quả vào hệ thống giao dịch và thành viên bên mua xác nhận trên hệ thống giao dịch.</w:t>
      </w:r>
      <w:r>
        <w:rPr>
          <w:b w:val="0"/>
          <w:i w:val="0"/>
        </w:rPr>
        <w:br/>
      </w:r>
      <w:r>
        <w:rPr>
          <w:b w:val="0"/>
          <w:i w:val="0"/>
        </w:rPr>
        <w:t>1.3. Thành viên có trách nhiệm chuyển ngay kết quả các lệnh giao dịch đã được thoả thuận vào hệ thống. Việc chuyển kết quả giao dịch phải được thực hiện trong thời gian qui định của phiên giao dịch.</w:t>
      </w:r>
      <w:r>
        <w:rPr>
          <w:b w:val="0"/>
          <w:i w:val="0"/>
        </w:rPr>
        <w:br/>
      </w:r>
      <w:r>
        <w:rPr>
          <w:b w:val="0"/>
          <w:i w:val="0"/>
        </w:rPr>
        <w:t>2. Phương thức báo giá:</w:t>
      </w:r>
      <w:r>
        <w:rPr>
          <w:b w:val="0"/>
          <w:i w:val="0"/>
        </w:rPr>
        <w:br/>
      </w:r>
      <w:r>
        <w:rPr>
          <w:b w:val="0"/>
          <w:i w:val="0"/>
        </w:rPr>
        <w:t>2.1. Lệnh giao dịch báo giá là lệnh giới hạn.</w:t>
      </w:r>
      <w:r>
        <w:rPr>
          <w:b w:val="0"/>
          <w:i w:val="0"/>
        </w:rPr>
        <w:br/>
      </w:r>
      <w:r>
        <w:rPr>
          <w:b w:val="0"/>
          <w:i w:val="0"/>
        </w:rPr>
        <w:t>2.2. Lệnh giao dịch báo giá nhập vào hệ thống có hiệu lực đến khi kết thúc phiên giao dịch.</w:t>
      </w:r>
      <w:r>
        <w:rPr>
          <w:b w:val="0"/>
          <w:i w:val="0"/>
        </w:rPr>
        <w:br/>
      </w:r>
      <w:r>
        <w:rPr>
          <w:b w:val="0"/>
          <w:i w:val="0"/>
        </w:rPr>
        <w:t>2.3. Thành viên chuyển lệnh của khách hàng tới TTGDCK Hà Nội qua hệ thống chuyển lệnh, đại diện giao dịch của công ty chứng khoán nhập lệnh vào hệ thống giao dịch tại TTGDCK Hà Nội. Các lệnh này được hiển thị trên màn hình của đại diện giao dịch và màn hình thông tin của thành viên.</w:t>
      </w:r>
      <w:r>
        <w:rPr>
          <w:b w:val="0"/>
          <w:i w:val="0"/>
        </w:rPr>
        <w:br/>
      </w:r>
      <w:r>
        <w:rPr>
          <w:b w:val="0"/>
          <w:i w:val="0"/>
        </w:rPr>
        <w:t>Lệnh nhập vào hệ thống giao dịch được khớp ngay nếu có các lệnh đối ứng trên hệ thống đáp ứng được điều kiện về giá. Các lệnh chưa được thực hiện hoặc thực hiện một phần được lưu lại trên hệ thống giao dịch.</w:t>
      </w:r>
      <w:r>
        <w:rPr>
          <w:b w:val="0"/>
          <w:i w:val="0"/>
        </w:rPr>
        <w:br/>
      </w:r>
      <w:r>
        <w:rPr>
          <w:b w:val="0"/>
          <w:i w:val="0"/>
        </w:rPr>
        <w:t>2.4. Trong thời gian giao dịch, đại diện giao dịch được phép sửa lệnh khi nhập sai lệnh giao dịch của khách hàng nhưng phải xuất trình lệnh gốc và được TTGDCK Hà Nội chấp thuận. Việc sửa lệnh giao dịch chỉ có hiệu lực khi toàn bộ hoặc một phần lệnh gốc chưa được thực hiện.</w:t>
      </w:r>
      <w:r>
        <w:rPr>
          <w:b w:val="0"/>
          <w:i w:val="0"/>
        </w:rPr>
        <w:br/>
      </w:r>
      <w:r>
        <w:rPr>
          <w:b w:val="0"/>
          <w:i w:val="0"/>
        </w:rPr>
        <w:t>2.5. Lệnh gốc hoặc phần còn lại của lệnh gốc chưa được thực hiện có thể được huỷ bỏ hoặc thay đổi chào giá.</w:t>
      </w:r>
      <w:r>
        <w:rPr>
          <w:b w:val="0"/>
          <w:i w:val="0"/>
        </w:rPr>
        <w:br/>
      </w:r>
      <w:r>
        <w:rPr>
          <w:b w:val="0"/>
          <w:i w:val="0"/>
        </w:rPr>
        <w:t>3. Kết thúc phiên giao dịch, TTGDCK Hà Nội xác nhận kết quả giao dịch với thành viên và thành viên thông báo cho khách hàng.</w:t>
      </w:r>
      <w:r>
        <w:rPr>
          <w:b w:val="0"/>
          <w:i w:val="0"/>
        </w:rPr>
        <w:br/>
      </w:r>
      <w:r>
        <w:rPr>
          <w:b w:val="0"/>
          <w:i w:val="0"/>
        </w:rPr>
        <w:t>4. Nội dung của lệnh giao dịch và xác nhận kết quả giao dịch theo mẫu Phụ lục số 03 và Phụ lục số 04 kèm theo Quy chế này.</w:t>
      </w:r>
      <w:r>
        <w:rPr>
          <w:b w:val="0"/>
          <w:i w:val="0"/>
        </w:rPr>
        <w:br/>
      </w:r>
      <w:r>
        <w:rPr>
          <w:b/>
          <w:i w:val="0"/>
        </w:rPr>
        <w:t>Điều 11. Biên độ dao động giá, đơn vị giao dịch, đơn vị yết giá</w:t>
      </w:r>
      <w:r>
        <w:rPr>
          <w:b w:val="0"/>
          <w:i w:val="0"/>
        </w:rPr>
        <w:br/>
      </w:r>
      <w:r>
        <w:rPr>
          <w:b w:val="0"/>
          <w:i w:val="0"/>
        </w:rPr>
        <w:t>Trong trường hợp cần thiết Chủ tịch UBCKNN có thể quyết định áp dụng biện độ dao động giá chứng khoán, đơn vị giao dịch, đơn vị yết giá chứng khoán.</w:t>
      </w:r>
      <w:r>
        <w:rPr>
          <w:b w:val="0"/>
          <w:i w:val="0"/>
        </w:rPr>
        <w:br/>
      </w:r>
      <w:r>
        <w:rPr>
          <w:b/>
          <w:i w:val="0"/>
        </w:rPr>
        <w:t>CHƯƠNG III</w:t>
      </w:r>
      <w:r>
        <w:br/>
      </w:r>
      <w:r>
        <w:rPr>
          <w:b/>
          <w:i w:val="0"/>
        </w:rPr>
        <w:t>TỔ CHỨC THỰC HIỆN</w:t>
      </w:r>
      <w:r>
        <w:rPr>
          <w:b w:val="0"/>
          <w:i w:val="0"/>
        </w:rPr>
        <w:br/>
      </w:r>
      <w:r>
        <w:rPr>
          <w:b/>
          <w:i w:val="0"/>
        </w:rPr>
        <w:t xml:space="preserve">Điều 12. </w:t>
      </w:r>
      <w:r>
        <w:rPr>
          <w:b w:val="0"/>
          <w:i w:val="0"/>
        </w:rPr>
        <w:t>TTGDCK Hà Nội ban hành các qui trình nghiệp vụ sau khi được UBCKNN chấp thuận.</w:t>
      </w:r>
      <w:r>
        <w:rPr>
          <w:b w:val="0"/>
          <w:i w:val="0"/>
        </w:rPr>
        <w:br/>
      </w:r>
      <w:r>
        <w:rPr>
          <w:b/>
          <w:i w:val="0"/>
        </w:rPr>
        <w:t xml:space="preserve">Điều 13. </w:t>
      </w:r>
      <w:r>
        <w:rPr>
          <w:b w:val="0"/>
          <w:i w:val="0"/>
        </w:rPr>
        <w:t>UBCKNN, TTGDCK Hà Nội thực hiện giám sát hoạt động giao dịch trên Trung tâm đảm bảo công khai, minh bạch và bảo vệ quyền lợi hợp pháp của tổ chức và cá nhân tham gia.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TÀI CHÍNH</w:t>
      </w:r>
      <w:r>
        <w:br/>
      </w:r>
      <w:r>
        <w:rPr>
          <w:b/>
          <w:i w:val="0"/>
        </w:rPr>
        <w:t>THỨ TRƯỞNG</w:t>
      </w:r>
      <w:r>
        <w:br/>
      </w:r>
      <w:r>
        <w:rPr>
          <w:b/>
          <w:i/>
        </w:rPr>
        <w:br/>
        <w:t xml:space="preserve">           (Đã ký)</w:t>
      </w:r>
      <w:r>
        <w:rPr>
          <w:b w:val="0"/>
          <w:i w:val="0"/>
        </w:rPr>
        <w:br/>
      </w:r>
      <w:r>
        <w:rPr>
          <w:b/>
          <w:i w:val="0"/>
        </w:rPr>
        <w:t xml:space="preserve">Lê Thị Băng Tâm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Nơi nhận:</w:t>
            </w:r>
            <w:r>
              <w:br/>
            </w:r>
            <w:r>
              <w:rPr>
                <w:b w:val="0"/>
                <w:i w:val="0"/>
              </w:rPr>
              <w:t>- Như Điều 3;</w:t>
            </w:r>
            <w:r>
              <w:br/>
            </w:r>
            <w:r>
              <w:rPr>
                <w:b w:val="0"/>
                <w:i w:val="0"/>
              </w:rPr>
              <w:t>- Vụ TCNH, Vụ PC, Cục TCDN;</w:t>
            </w:r>
            <w:r>
              <w:br/>
            </w:r>
            <w:r>
              <w:rPr>
                <w:b w:val="0"/>
                <w:i w:val="0"/>
              </w:rPr>
              <w:t>- Lưu VP, UBCKNN.</w:t>
            </w:r>
          </w:p>
        </w:tc>
        <w:tc>
          <w:tcPr>
            <w:tcW w:type="dxa" w:w="4320"/>
          </w:tcPr>
          <w:p>
            <w:r>
              <w:rPr>
                <w:b w:val="0"/>
                <w:i w:val="0"/>
              </w:rPr>
              <w:br/>
            </w:r>
            <w:r>
              <w:rPr>
                <w:b/>
                <w:i w:val="0"/>
              </w:rPr>
              <w:t>KT. BỘ TRƯỞNG BỘ TÀI CHÍNH</w:t>
            </w:r>
            <w:r>
              <w:br/>
            </w:r>
            <w:r>
              <w:rPr>
                <w:b/>
                <w:i w:val="0"/>
              </w:rPr>
              <w:br/>
              <w:t xml:space="preserve">          THỨ TRƯỞNG</w:t>
            </w:r>
            <w:r>
              <w:rPr>
                <w:b w:val="0"/>
                <w:i w:val="0"/>
              </w:rPr>
              <w:t xml:space="preserve"> </w:t>
            </w:r>
            <w:r>
              <w:br/>
            </w:r>
            <w:r>
              <w:rPr>
                <w:b/>
                <w:i/>
              </w:rPr>
              <w:t>(Đã ký)</w:t>
            </w:r>
            <w:r>
              <w:rPr>
                <w:b w:val="0"/>
                <w:i w:val="0"/>
              </w:rPr>
              <w:br/>
            </w:r>
            <w:r>
              <w:rPr>
                <w:b/>
                <w:i w:val="0"/>
              </w:rPr>
              <w:t>Lê Thị Băng Tâm</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br/>
            </w:r>
            <w:r>
              <w:rPr>
                <w:b/>
                <w:i w:val="0"/>
              </w:rPr>
              <w:t>THỨ TRƯỞNG</w:t>
            </w:r>
            <w:r>
              <w:br/>
            </w:r>
            <w:r>
              <w:rPr>
                <w:b/>
                <w:i/>
              </w:rPr>
              <w:br/>
              <w:t xml:space="preserve">           (Đã ký)</w:t>
            </w:r>
            <w:r>
              <w:rPr>
                <w:b w:val="0"/>
                <w:i w:val="0"/>
              </w:rPr>
              <w:br/>
            </w:r>
            <w:r>
              <w:rPr>
                <w:b/>
                <w:i w:val="0"/>
              </w:rPr>
              <w:t xml:space="preserve">Lê Thị Băng Tâm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