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24/1997/CT-UB Về việc sản xuất, tiêu thụ xi măng lò đứng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PHÚ THỌ</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CHỈ THỊ CỦA CHỦ TỊCH UBND TỈNH PHÚ THỌ</w:t>
      </w:r>
    </w:p>
    <w:p>
      <w:r>
        <w:rPr>
          <w:b/>
          <w:i w:val="0"/>
        </w:rPr>
        <w:t xml:space="preserve">Về việc sản xuất, tiêu thụ xi măng lò đứng </w:t>
      </w:r>
    </w:p>
    <w:p>
      <w:r>
        <w:rPr>
          <w:b w:val="0"/>
          <w:i/>
        </w:rPr>
        <w:t>Xi măng lò đứng do Công ty xi măng đá vôi Phú Thọ sản xuất chất lượng đã ổn định đạt tiêu chuẩn quốc gia, được công nhận hợp chuẩn quốc gia ximăng Pooc lăng PC3O; sản lượng đủ đáp ứng nhu cầu tiêu dùng trên địa bàn.</w:t>
      </w:r>
    </w:p>
    <w:p>
      <w:r>
        <w:rPr>
          <w:b w:val="0"/>
          <w:i/>
        </w:rPr>
        <w:t>Thực hiện văn bản số 1754/BXD-VLXD ngày 29-11-1994 về việc sử dụng xi măng lò đứng của Bộ xây dựng, UBND tỉnh Vĩnh Phú đã có văn bản số 292/HC ngày 1-3-1995 hướng dẫn việc sản xuất tiêu thụ, sử dụng và đưa đơn giá xi măng Vĩnh Phú vào việc lập khái toán, dự toán và quyết toán công trình. Việc triển khai bước đầu đã đạt được nhiều kết quả: giảm chi phí trong giá thành đầu tư xây dựng, thúc đẩy sản xuất phát triển. Song gần đây do buông lỏng trong quản lý từ khâu lập dự án, thiết kế, lập dự toán và quyết toán công trình nên hạn chế việc sản xuất và tiêu thụ xi măng địa phương, mặt khác nhiều công trình trong thực tế sử dụng xi măng địa phương nhưng vẫn thanh quyết toán xi măng lò quay Trung ương làm tăng giá thành công trình xây dựng không hợp lý.</w:t>
      </w:r>
    </w:p>
    <w:p>
      <w:r>
        <w:rPr>
          <w:b w:val="0"/>
          <w:i/>
        </w:rPr>
        <w:t>Nhằm thúc đẩy sản xuất và tiêu thụ xi măng lò đứng của địa phương, sử dụng tiết kiệm và hợp lý vốn đầu tư xây dựng, thực hiện hướng dẫn của Bộ Xây dựng về sản xuất và tiêu thụ xi măng lò đứng tại văn bản số 889/BXD-KH-TK ngày 8-7-1997, Chủ tịch UBND tỉnh chỉ thị:</w:t>
      </w:r>
    </w:p>
    <w:p>
      <w:r>
        <w:rPr>
          <w:b w:val="0"/>
          <w:i/>
        </w:rPr>
        <w:t xml:space="preserve"> </w:t>
      </w:r>
      <w:r>
        <w:rPr>
          <w:b w:val="0"/>
          <w:i w:val="0"/>
        </w:rPr>
        <w:t>1. Sở Xây dựng chỉ đạo Công ty xi măng đá vôi Phú Thọ phải quản lý chặt chẽ trong quá trình sản xuất, lưu thông nhằm đảm bảo chất lượng xi măng ổn định đạt tiêu chuẩn quốc gia đã được Nhà nước công nhận và phải đền bù thiệt hại cho người sử dụng nếu bị ảnh hưởng do chất lượng xi măng của Công ty sản xuất ra không ổn định, không bảo đảm tiêu chuẩn quốc gia.</w:t>
      </w:r>
    </w:p>
    <w:p>
      <w:r>
        <w:rPr>
          <w:b w:val="0"/>
          <w:i w:val="0"/>
        </w:rPr>
        <w:t>2. Tất cả các công trình xây dựng từ các nguồn vốn thuộc các dự án của các cơ quan quản lý hành chính sự nghiệp, cơ quan đoàn thể, đơn vị kinh tế quốc doanh, tập thể của tỉnh trong phạm vi kỹ thuật cho phép theo quy định của Nhà nước đều phải sử dụng và tính theo đơn giá xi măng sản xuất tại Công ty xi măng đá vôi Phú Thọ. Những hạng mục, kết cấu công trình có yêu cầu kỹ thuật đặc thù phải dùng xi măng lò quay Trung ương hoặc xi măng ngoại đều phải được duyệt cụ thể trong thiết kế và tổng dự toán.</w:t>
      </w:r>
    </w:p>
    <w:p>
      <w:r>
        <w:rPr>
          <w:b w:val="0"/>
          <w:i w:val="0"/>
        </w:rPr>
        <w:t>Giao Sở Xây dựng chủ trì cùng Sở Khoa học công nghệ môi trường, Sở Giao thông vận tải, Sở Nông nghiệp và phát triển nông thôn, Sở Công nghiệp trao đổi thống nhất có văn bản hướng dẫn cụ thể phạm vi phải dùng xi măng lò quay Trung ương hoặc xi măng ngoại xong trước ngày 25-8-1997 để thay thế văn bản hướng dẫn trước đây của Sở Xây dựng Vĩnh Phú.</w:t>
      </w:r>
    </w:p>
    <w:p>
      <w:r>
        <w:rPr>
          <w:b w:val="0"/>
          <w:i w:val="0"/>
        </w:rPr>
        <w:t>3. Tất cả các cơ quan đơn vị khi lập dự án, thiết kế, lập dự toán, thanh quyết toán công trình xây dựng và thẩm định dự án, thẩm định thiết kế dự toán, thẩm tra quyết toán chỉ được sử dụng đơn giá xi măng lò quay Trung ương hay xi măng ngoại ở những hạng mục, kết cấu phần việc cụ thể theo hướng dẫn của Sở xây dựng Vĩnh Phú trước đây và Sở Xây dựng Phú Thọ hiện nay. Hồ sơ trình duyệt thiết kế dự toán đều phải ghi chú tổng số xi măng sử dụng và trong đó có ghi rõ lượng xi măng lò quay Trung ương hoặc xi măng ngoại. Đơn giá xi măng lò đứng thống nhất lấy theo đơn giá xi măng Thanh Ba Phú Thọ do Sở Tài chính vật giá công bố hàng kì.</w:t>
      </w:r>
    </w:p>
    <w:p>
      <w:r>
        <w:rPr>
          <w:b w:val="0"/>
          <w:i w:val="0"/>
        </w:rPr>
        <w:t>4. Do văn bản 292/HC ngày 1-5-1995 của UBND tỉnh Vĩnh Phú vẫn còn hiệu lực và nội dung không có gì trái với văn bản số 859/BXD-KH-TK ngày 8-7-1997 của Bộ Xây dựng và nội dung của Chỉ thị này, do đó yêu cầu các chủ đầu tư khi lập quyết toán công trình, các cơ quan được giao thẩm tra quyết toán công trình xây dựng đều phải tính theo đơn giá xi măng Thanh Ba Phú Thọ, trừ trường hợp đã được ghi rõ trong thiết kế và dự toán số lượng xi măng phải dùng xi măng lò quay Trung ương hay xi măng ngoại.</w:t>
      </w:r>
    </w:p>
    <w:p>
      <w:r>
        <w:rPr>
          <w:b w:val="0"/>
          <w:i w:val="0"/>
        </w:rPr>
        <w:t>Chủ tịch UBND các huyện, thành, thị, Thủ trưởng các sở, ban, nghành, cơ quan đoàn thể trong tỉnh cần quán triệt chỉ thị này đến các đơn vị cơ sở trực thuộc để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Chưa xác định </w:t>
            </w:r>
            <w:r>
              <w:rPr>
                <w:b w:val="0"/>
                <w:i w:val="0"/>
              </w:rPr>
              <w:br/>
            </w:r>
            <w:r>
              <w:rPr>
                <w:b w:val="0"/>
                <w:i w:val="0"/>
              </w:rPr>
              <w:br/>
            </w:r>
            <w:r>
              <w:rPr>
                <w:b/>
                <w:i w:val="0"/>
              </w:rPr>
              <w:t>Nguyễn Văn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