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24/2005/QĐ-BGTVT Về việc sửa đổi khoản 1, khoản 4 Điều 1 và Điều 5 Quyết định số 1826/2002/QĐ-BGTVT ngày 12 tháng 06 năm 2002 của Bộ trưởng Bộ Giao thông vận tải</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24/2005/QĐ-BGTVT</w:t>
        <w:br/>
        <w:t xml:space="preserve">     </w:t>
      </w:r>
      <w:r>
        <w:rPr>
          <w:b w:val="0"/>
          <w:i w:val="0"/>
        </w:rPr>
        <w:br/>
      </w:r>
      <w:r>
        <w:rPr>
          <w:b w:val="0"/>
          <w:i/>
        </w:rPr>
        <w:br/>
        <w:t xml:space="preserve">      Hà Nội, ngày 12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24/2005/QĐ-BGTVT</w:t>
        <w:br/>
        <w:t xml:space="preserve">     </w:t>
      </w:r>
      <w:r>
        <w:rPr>
          <w:b w:val="0"/>
          <w:i w:val="0"/>
        </w:rPr>
        <w:br/>
      </w:r>
      <w:r>
        <w:rPr>
          <w:b w:val="0"/>
          <w:i/>
        </w:rPr>
        <w:br/>
        <w:t xml:space="preserve">      Hà Nội, ngày 12 tháng 5 năm 2005</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24/2005/QĐ-BGTVT</w:t>
        <w:br/>
        <w:t xml:space="preserve">     </w:t>
      </w:r>
      <w:r>
        <w:rPr>
          <w:b w:val="0"/>
          <w:i w:val="0"/>
        </w:rPr>
        <w:br/>
      </w:r>
      <w:r>
        <w:rPr>
          <w:b w:val="0"/>
          <w:i/>
        </w:rPr>
        <w:br/>
        <w:t xml:space="preserve">      Hà Nội, ngày 12 tháng 5 năm 2005</w:t>
        <w:br/>
        <w:t xml:space="preserve">     </w:t>
      </w:r>
      <w:r>
        <w:rPr>
          <w:b w:val="0"/>
          <w:i w:val="0"/>
        </w:rPr>
        <w:br/>
      </w:r>
    </w:p>
    <w:p>
      <w:pPr>
        <w:jc w:val="center"/>
      </w:pPr>
      <w:r>
        <w:rPr>
          <w:b w:val="0"/>
          <w:i w:val="0"/>
        </w:rPr>
        <w:br/>
        <w:t xml:space="preserve">      Số: 24/2005/QĐ-BGTVT</w:t>
        <w:br/>
        <w:t xml:space="preserve">     </w:t>
      </w:r>
    </w:p>
    <w:p>
      <w:pPr>
        <w:jc w:val="center"/>
      </w:pPr>
      <w:r>
        <w:rPr>
          <w:b w:val="0"/>
          <w:i w:val="0"/>
        </w:rPr>
        <w:br/>
        <w:t xml:space="preserve">      Hà Nội, ngày 12 tháng 5 năm 2005</w:t>
        <w:br/>
        <w:t xml:space="preserve">     </w:t>
      </w:r>
    </w:p>
    <w:p>
      <w:r>
        <w:rPr>
          <w:b/>
          <w:i w:val="0"/>
        </w:rPr>
        <w:t>QUYẾT ĐỊNH</w:t>
      </w:r>
    </w:p>
    <w:p>
      <w:r>
        <w:rPr>
          <w:b/>
          <w:i w:val="0"/>
        </w:rPr>
        <w:t xml:space="preserve">Về việc sửa đổi khoản 1, khoản 4 Điều 1 và Điều 5 </w:t>
      </w:r>
      <w:r>
        <w:rPr>
          <w:b/>
          <w:i w:val="0"/>
        </w:rPr>
        <w:t xml:space="preserve">Quyết định số 1826/2002/QĐ-BGTVT ngày 12 tháng 06 </w:t>
      </w:r>
      <w:r>
        <w:rPr>
          <w:b/>
          <w:i w:val="0"/>
        </w:rPr>
        <w:t>năm 2002 của Bộ trưởng Bộ Giao thông vận tải</w:t>
      </w:r>
    </w:p>
    <w:p>
      <w:r>
        <w:rPr>
          <w:b/>
          <w:i w:val="0"/>
        </w:rPr>
        <w:t>BỘ TRƯỞNG BỘ GIAO THÔNG VẬN TẢI</w:t>
      </w:r>
    </w:p>
    <w:p>
      <w:r>
        <w:rPr>
          <w:b w:val="0"/>
          <w:i/>
        </w:rPr>
        <w:t>Căn cứ Nghị định số 34/2003/NĐ-CP ngày 04 tháng 4 năm 2003 của Chính phủ quy định chức năng, nhiệm vụ, quyền hạn và cơ cấu tổ chức của Bộ Giao thông vận tải;</w:t>
      </w:r>
    </w:p>
    <w:p>
      <w:r>
        <w:rPr>
          <w:b w:val="0"/>
          <w:i/>
        </w:rPr>
        <w:t>Căn cứ ý kiến của Thủ tướng Chính phủ tại Văn bản số 1740/CP-QHQT ngày 19 tháng 11 năm 2004 về bổ sung mục tiêu kinh doanh khai thác cảng cho Công ty TNHH Bourbon - Bến Lức tỉnh Long An;</w:t>
      </w:r>
    </w:p>
    <w:p>
      <w:r>
        <w:rPr>
          <w:b w:val="0"/>
          <w:i/>
        </w:rPr>
        <w:t>Căn cứ Quyết định số 07/2005/QĐ-BGTVT ngày 07 tháng 01 năm 2005 của Bộ trưởng Bộ Giao thông vận tải ban hành quy chế quản lý cảng, bến thủy nội địa;</w:t>
      </w:r>
    </w:p>
    <w:p>
      <w:r>
        <w:rPr>
          <w:b w:val="0"/>
          <w:i/>
        </w:rPr>
        <w:t>Theo đề nghị của Vụ trưởng Vụ Vận tải, Cục trưởng Cục Đường sông Việt Nam,</w:t>
      </w:r>
    </w:p>
    <w:p>
      <w:r>
        <w:rPr>
          <w:b/>
          <w:i w:val="0"/>
        </w:rPr>
        <w:t>QUYẾT ĐỊNH:</w:t>
      </w:r>
    </w:p>
    <w:p>
      <w:pPr>
        <w:jc w:val="both"/>
      </w:pPr>
      <w:r>
        <w:rPr>
          <w:b/>
          <w:i w:val="0"/>
        </w:rPr>
        <w:t xml:space="preserve">Điều 1. </w:t>
      </w:r>
      <w:r>
        <w:rPr>
          <w:b w:val="0"/>
          <w:i w:val="0"/>
        </w:rPr>
        <w:t>Sửa đổi khoản 1, khoản 4 Điều 1 và Điều 5 Quyết định số 1826/2002/QĐ-BGTVT ngày 12 tháng 6 năm 2002 của Bộ trưởng Bộ Giao thông vận tải như sau:</w:t>
      </w:r>
    </w:p>
    <w:p>
      <w:pPr>
        <w:jc w:val="both"/>
      </w:pPr>
      <w:r>
        <w:rPr>
          <w:b w:val="0"/>
          <w:i w:val="0"/>
        </w:rPr>
        <w:t>1. Khoản 1 Điều 1: "1. Nay công bố cảng Bourbon - Bến Lức - Long An của Công ty TNHH chế biến đóng gói bao bì nông sản thực phẩm Bourbon - Bến Lức - Long An (sau đây gọi tắt là cảng Bourbon - Bến Lức - Long An) được tiếp nhận tàu biển Việt Nam và phương tiện thủy nước ngoài (sau đây gọi tắt là tàu thuyền) có trọng tải đến 5000 DWT với mớn nước đến 4 mét và chiều cao tĩnh không quá 20 mét ra, vào và làm hàng tại công này".</w:t>
      </w:r>
    </w:p>
    <w:p>
      <w:pPr>
        <w:jc w:val="both"/>
      </w:pPr>
      <w:r>
        <w:rPr>
          <w:b w:val="0"/>
          <w:i w:val="0"/>
        </w:rPr>
        <w:t>2. Khoản 4 Điều 1: "4. Đối với tàu thuyền có mớn nước lớn hơn 4 mét, giao Cảng vụ Đường thủy nội địa khu vực III phối hợp với Đoạn quản lý Đường sông số 10, căn cứ vào điều kiện thực tế của luồng lạch, khí tượng thủy văn, thủy triều để xem xét quyết định việc cho phép tàu thuyền ra, vào và làm hàng tại cầu cảng này và chịu trách nhiệm đảm bảo an toàn cho tàu thuyền trong quá trình hoạt động".</w:t>
      </w:r>
    </w:p>
    <w:p>
      <w:r>
        <w:rPr>
          <w:b w:val="0"/>
          <w:i w:val="0"/>
        </w:rPr>
        <w:t>3. Điều 5: "Quyết định này có hiệu lực thi hành sau 15 ngày, kể từ ngày đăng Công báo".</w:t>
      </w:r>
    </w:p>
    <w:p>
      <w:r>
        <w:rPr>
          <w:b/>
          <w:i w:val="0"/>
        </w:rPr>
        <w:t xml:space="preserve">Điều 2. </w:t>
      </w:r>
      <w:r>
        <w:rPr>
          <w:b w:val="0"/>
          <w:i w:val="0"/>
        </w:rPr>
        <w:t>Quyết định này có hiệu lực thi hành sau 15 ngày, kể từ ngày đăng Công báo</w:t>
      </w:r>
      <w:r>
        <w:rPr>
          <w:b/>
          <w:i w:val="0"/>
        </w:rPr>
        <w:t>.</w:t>
      </w:r>
    </w:p>
    <w:p>
      <w:pPr>
        <w:jc w:val="both"/>
      </w:pPr>
      <w:r>
        <w:rPr>
          <w:b/>
          <w:i w:val="0"/>
        </w:rPr>
        <w:t xml:space="preserve">Điều 3. </w:t>
      </w:r>
      <w:r>
        <w:rPr>
          <w:b w:val="0"/>
          <w:i w:val="0"/>
        </w:rPr>
        <w:t xml:space="preserve">Chánh Văn phòng Bộ, Chánh Thanh tra Bộ, Vụ trưởng Vụ Vận tải, Vụ trưởng Vụ Pháp chế, Cục trưởng Cục Đường sông Việt Nam, Cục trưởng Cục Hàng hải Việt Nam, Giám đốc cảng Bourbon - Bến Lức - Long An, Thủ trưởng các Vụ và cơ quan, đơn vị có liên quan chịu trách nhiệm thi hành Quyết định này./. </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Thế Minh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Thế Minh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Thế Minh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Thế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