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24/2007/NQ-HĐND về việc danh mục các công trình đầu tư từ nguồn vốn Thành phố phân cấp năm 2007 quận Bình Tân do Hội đồng nhân dân Quận Bình Tân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QUẬN BÌNH TÂN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NGHỊ QUYẾT</w:t>
      </w:r>
    </w:p>
    <w:p>
      <w:pPr>
        <w:jc w:val="center"/>
      </w:pPr>
      <w:r>
        <w:rPr>
          <w:b/>
          <w:i w:val="0"/>
        </w:rPr>
        <w:t>Về việc danh mục các công trình đầu tư từ nguồn vốn Thành phố phân cấp năm 2007 quận Bình Tân do Hội đồng nhân dân Quận Bình Tân ban hành</w:t>
      </w:r>
    </w:p>
    <w:p>
      <w:pPr>
        <w:jc w:val="center"/>
      </w:pPr>
      <w:r>
        <w:rPr>
          <w:b/>
          <w:i w:val="0"/>
        </w:rPr>
        <w:t>HỘI ĐỒNG NHÂN DÂN QUẬN BÌNH TÂN KHÓA I, KỲ HỌP LẦN THỨ 7</w:t>
      </w:r>
    </w:p>
    <w:p>
      <w:r>
        <w:rPr>
          <w:b w:val="0"/>
          <w:i/>
        </w:rPr>
        <w:t>Căn cứ Luật Tổ chức Hội đồng nhân dân và Ủy ban nhân dân ngày 26 tháng 11 năm 2003;</w:t>
      </w:r>
      <w:r>
        <w:br/>
      </w:r>
      <w:r>
        <w:rPr>
          <w:b w:val="0"/>
          <w:i/>
        </w:rPr>
        <w:br/>
        <w:t xml:space="preserve">     Căn cứ Kế hoạch phát triển kinh tế xã hội giai đoạn 2006 - 2010 và Chương trình đầu tư xây dựng cơ bản giai đoạn 2006 - 2010;</w:t>
      </w:r>
      <w:r>
        <w:br/>
      </w:r>
      <w:r>
        <w:rPr>
          <w:b w:val="0"/>
          <w:i/>
        </w:rPr>
        <w:br/>
        <w:t xml:space="preserve">     Căn cứ Báo cáo số 119/BC-HĐND ngày 24 tháng 04 năm 2006 của Hội đồng nhân dân thành phố về thuận chủ trương để lại cho quận 72 tỷ từ nguồn tiền sử dụng đất để đầu tư hạ tầng kỹ thuật và Báo cáo số 378/HĐND-KTNS ngày 24 tháng 11 năm 2006 của Ban Kinh tế và Ngân sách Hội đồng nhân dân thành phố;</w:t>
      </w:r>
      <w:r>
        <w:br/>
      </w:r>
      <w:r>
        <w:rPr>
          <w:b w:val="0"/>
          <w:i/>
        </w:rPr>
        <w:br/>
        <w:t xml:space="preserve">     Trên cơ sở xem xét Tờ trình số 04/TTr-UBND ngày 02 tháng 02 năm 2007 của UBND quận và ý kiến các đại biểu Hội đồng nhân dân quận</w:t>
      </w:r>
      <w:r>
        <w:rPr>
          <w:b w:val="0"/>
          <w:i w:val="0"/>
        </w:rPr>
        <w:t>,</w:t>
      </w:r>
    </w:p>
    <w:p>
      <w:pPr>
        <w:jc w:val="center"/>
      </w:pPr>
      <w:r>
        <w:rPr>
          <w:b/>
          <w:i w:val="0"/>
        </w:rPr>
        <w:t>QUYẾT NGHỊ:</w:t>
      </w:r>
    </w:p>
    <w:p>
      <w:r>
        <w:rPr>
          <w:b/>
          <w:i w:val="0"/>
        </w:rPr>
        <w:t>Điều 1.</w:t>
      </w:r>
      <w:r>
        <w:rPr>
          <w:b w:val="0"/>
          <w:i w:val="0"/>
        </w:rPr>
        <w:t xml:space="preserve"> Nhất trí thông qua danh mục đầu tư năm 2007 từ nguồn vốn thành phố phân cấp (phân cấp hàng năm và xin nguồn thu vượt tiền sử dụng đất) như sau:</w:t>
      </w:r>
    </w:p>
    <w:p>
      <w:r>
        <w:rPr>
          <w:b w:val="0"/>
          <w:i w:val="0"/>
        </w:rPr>
        <w:t>1. Các công trình đầu tư từ nguồn vốn Thành phố phân cấp hàng năm (kèm theo phụ lục 1):</w:t>
      </w:r>
    </w:p>
    <w:p>
      <w:r>
        <w:rPr>
          <w:b w:val="0"/>
          <w:i w:val="0"/>
        </w:rPr>
        <w:t>- Tổng số: 20 công trình, trong đó:</w:t>
      </w:r>
    </w:p>
    <w:p>
      <w:r>
        <w:rPr>
          <w:b w:val="0"/>
          <w:i w:val="0"/>
        </w:rPr>
        <w:t>+ Công trình chuyển tiếp: 6 công trình</w:t>
      </w:r>
    </w:p>
    <w:p>
      <w:r>
        <w:rPr>
          <w:b w:val="0"/>
          <w:i w:val="0"/>
        </w:rPr>
        <w:t>+ Công trình khởi công mới: 6 công trình</w:t>
      </w:r>
    </w:p>
    <w:p>
      <w:r>
        <w:rPr>
          <w:b w:val="0"/>
          <w:i w:val="0"/>
        </w:rPr>
        <w:t>+ Công trình làm thủ tục chuẩn bị đầu tư để xin thành phố bổ sung vốn khởi công mới: 8 công trình.</w:t>
      </w:r>
    </w:p>
    <w:p>
      <w:r>
        <w:rPr>
          <w:b w:val="0"/>
          <w:i w:val="0"/>
        </w:rPr>
        <w:t>- Nguồn vốn thực hiện: trước mắt sẽ giao 21,3 tỷ này cho 06 công trình chuyển tiếp và 06 công trình khởi công mới (đã hoàn tất thủ tục chuẩn bị đầu tư). Còn lại 08 công trình chưa thực hiện thủ tục đầu tư, Quận ứng 160 triệu đồng để làm thủ tục chuẩn bị đầu tư.</w:t>
      </w:r>
    </w:p>
    <w:p>
      <w:r>
        <w:rPr>
          <w:b w:val="0"/>
          <w:i w:val="0"/>
        </w:rPr>
        <w:t>2. Các công trình đầu tư từ nguồn 72 tỷ thu vượt tiền sử dụng đất xin thành phố để lại (kèm theo phụ lục 2):</w:t>
      </w:r>
    </w:p>
    <w:p>
      <w:r>
        <w:rPr>
          <w:b w:val="0"/>
          <w:i w:val="0"/>
        </w:rPr>
        <w:t>- Tổng số: 20 công trình.</w:t>
      </w:r>
    </w:p>
    <w:p>
      <w:r>
        <w:rPr>
          <w:b w:val="0"/>
          <w:i w:val="0"/>
        </w:rPr>
        <w:t>- Nguồn vốn để đầu tư: xin Thành phố cân đối lại cho Quận từ nguồn thu vượt tiền sử dụng đất.</w:t>
      </w:r>
    </w:p>
    <w:p>
      <w:r>
        <w:rPr>
          <w:b w:val="0"/>
          <w:i w:val="0"/>
        </w:rPr>
        <w:t>Trước mắt tạm ứng ngân sách quận 400 triệu đồng để Ban Quản lý dự án Đầu tư Xây dựng quận hoàn tất các bước thủ tục chuẩn bị đầu tư.</w:t>
      </w:r>
    </w:p>
    <w:p>
      <w:r>
        <w:rPr>
          <w:b/>
          <w:i w:val="0"/>
        </w:rPr>
        <w:t xml:space="preserve">Điều 2. </w:t>
      </w:r>
    </w:p>
    <w:p>
      <w:r>
        <w:rPr>
          <w:b w:val="0"/>
          <w:i w:val="0"/>
        </w:rPr>
        <w:t>- Giao cho Ủy ban nhân dân quận tổ chức thực hiện đầu tư xây dựng cơ bản tại Điều 1 nêu trên theo đúng quy định của pháp luật. Có báo cáo việc thực hiện, việc quyết toán ở các kỳ họp Hội đồng nhân dân quận.</w:t>
      </w:r>
    </w:p>
    <w:p>
      <w:r>
        <w:rPr>
          <w:b w:val="0"/>
          <w:i w:val="0"/>
        </w:rPr>
        <w:t>- Giao cho Thường trực Hội đồng nhân dân quận và Ban Kinh tế - Xã hội Hội đồng nhân dân quận giám sát việc thực hiện theo tinh thần Điều 1 như trên.</w:t>
      </w:r>
    </w:p>
    <w:p>
      <w:r>
        <w:rPr>
          <w:b w:val="0"/>
          <w:i w:val="0"/>
        </w:rPr>
        <w:t>Nghị quyết này đã được Hội đồng nhân dân quận Bình Tân - Khóa I (nhiệm kỳ 2004 - 2009) thông qua tại kỳ họp lần thứ 7, ngày 06 tháng 02 năm 2007./.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w:t>
            </w:r>
            <w:r>
              <w:rPr>
                <w:b w:val="0"/>
                <w:i w:val="0"/>
              </w:rPr>
              <w:br/>
            </w:r>
            <w:r>
              <w:rPr>
                <w:b/>
                <w:i w:val="0"/>
              </w:rPr>
              <w:t>(Đã ký)</w:t>
            </w:r>
            <w:r>
              <w:rPr>
                <w:b w:val="0"/>
                <w:i w:val="0"/>
              </w:rPr>
              <w:br/>
            </w:r>
            <w:r>
              <w:rPr>
                <w:b/>
                <w:i w:val="0"/>
              </w:rPr>
              <w:t>Nguyễn Văn Hoàng</w:t>
            </w:r>
          </w:p>
        </w:tc>
      </w:tr>
    </w:tbl>
    <w:p>
      <w:pPr>
        <w:jc w:val="center"/>
      </w:pPr>
      <w:r>
        <w:rPr>
          <w:b w:val="0"/>
          <w:i w:val="0"/>
        </w:rPr>
        <w:t>PHỤ LỤC 1:</w:t>
      </w:r>
    </w:p>
    <w:p>
      <w:pPr>
        <w:jc w:val="center"/>
      </w:pPr>
      <w:r>
        <w:rPr>
          <w:b w:val="0"/>
          <w:i w:val="0"/>
        </w:rPr>
        <w:t>DANH MỤC CÁC CÔNG TRÌNH ĐẦU TƯ NĂM 2007 TỪ NGUỒN VỐN XIN THÀNH PHỐ PHÂN CẤP HÀNG NĂM</w:t>
      </w:r>
      <w:r>
        <w:br/>
      </w:r>
      <w:r>
        <w:rPr>
          <w:b w:val="0"/>
          <w:i/>
        </w:rPr>
        <w:t>(Kèm theo Nghị quyết số 24/2007/NQ-HĐND ngày 06 tháng 02 năm 2007 của Hội đồng nhân dân quận Bình Tân)</w:t>
      </w:r>
    </w:p>
    <w:p>
      <w:pPr>
        <w:jc w:val="right"/>
      </w:pPr>
      <w:r>
        <w:rPr>
          <w:b w:val="0"/>
          <w:i w:val="0"/>
        </w:rPr>
        <w:t>Đơn vị tính: 1.000 đồng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STT</w:t>
            </w:r>
          </w:p>
        </w:tc>
        <w:tc>
          <w:tcPr>
            <w:tcW w:type="dxa" w:w="1234"/>
          </w:tcPr>
          <w:p>
            <w:r>
              <w:rPr>
                <w:b w:val="0"/>
                <w:i w:val="0"/>
              </w:rPr>
              <w:br/>
            </w:r>
            <w:r>
              <w:rPr>
                <w:b w:val="0"/>
                <w:i w:val="0"/>
              </w:rPr>
              <w:t>Danh mục đầu tư</w:t>
            </w:r>
          </w:p>
        </w:tc>
        <w:tc>
          <w:tcPr>
            <w:tcW w:type="dxa" w:w="1234"/>
          </w:tcPr>
          <w:p>
            <w:r>
              <w:rPr>
                <w:b w:val="0"/>
                <w:i w:val="0"/>
              </w:rPr>
              <w:br/>
            </w:r>
            <w:r>
              <w:rPr>
                <w:b w:val="0"/>
                <w:i w:val="0"/>
              </w:rPr>
              <w:t>Địa điểm</w:t>
            </w:r>
          </w:p>
        </w:tc>
        <w:tc>
          <w:tcPr>
            <w:tcW w:type="dxa" w:w="1234"/>
          </w:tcPr>
          <w:p>
            <w:r>
              <w:rPr>
                <w:b w:val="0"/>
                <w:i w:val="0"/>
              </w:rPr>
              <w:br/>
            </w:r>
            <w:r>
              <w:rPr>
                <w:b w:val="0"/>
                <w:i w:val="0"/>
              </w:rPr>
              <w:t>Chủ đầu tư</w:t>
            </w:r>
          </w:p>
        </w:tc>
        <w:tc>
          <w:tcPr>
            <w:tcW w:type="dxa" w:w="1234"/>
          </w:tcPr>
          <w:p>
            <w:r>
              <w:rPr>
                <w:b w:val="0"/>
                <w:i w:val="0"/>
              </w:rPr>
              <w:br/>
            </w:r>
            <w:r>
              <w:rPr>
                <w:b w:val="0"/>
                <w:i w:val="0"/>
              </w:rPr>
              <w:t>Tổng vốn đầu tư</w:t>
            </w:r>
          </w:p>
        </w:tc>
        <w:tc>
          <w:tcPr>
            <w:tcW w:type="dxa" w:w="1234"/>
          </w:tcPr>
          <w:p>
            <w:r>
              <w:rPr>
                <w:b w:val="0"/>
                <w:i w:val="0"/>
              </w:rPr>
              <w:br/>
            </w:r>
            <w:r>
              <w:rPr>
                <w:b w:val="0"/>
                <w:i w:val="0"/>
              </w:rPr>
              <w:t>Kế hoạch đợt 1</w:t>
            </w:r>
          </w:p>
        </w:tc>
        <w:tc>
          <w:tcPr>
            <w:tcW w:type="dxa" w:w="1234"/>
          </w:tcPr>
          <w:p>
            <w:r>
              <w:rPr>
                <w:b w:val="0"/>
                <w:i w:val="0"/>
              </w:rPr>
              <w:br/>
            </w:r>
            <w:r>
              <w:rPr>
                <w:b w:val="0"/>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HỘI ĐỒNG NHÂN DÂN QUẬN BÌNH TÂN</w:t>
            </w:r>
          </w:p>
        </w:tc>
      </w:tr>
    </w:tbl>
    <w:p>
      <w:pPr>
        <w:jc w:val="center"/>
      </w:pPr>
      <w:r>
        <w:rPr>
          <w:b w:val="0"/>
          <w:i w:val="0"/>
        </w:rPr>
        <w:t>PHỤ LỤC 2</w:t>
      </w:r>
    </w:p>
    <w:p>
      <w:r>
        <w:rPr>
          <w:b w:val="0"/>
          <w:i w:val="0"/>
        </w:rPr>
        <w:t>DANH MỤC CÁC CÔNG TRÌNH ĐẦU TƯ NĂM 2007 TỪ NGUỒN VỐN XIN THÀNH PHỐ CÂN ĐỐI 72 TỶ THU VƯỢT TIỀN SỬ DỤNG ĐẤT</w:t>
      </w:r>
      <w:r>
        <w:br/>
      </w:r>
      <w:r>
        <w:rPr>
          <w:b w:val="0"/>
          <w:i/>
        </w:rPr>
        <w:t>(Kèm theo Nghị quyết số 24/2007/NQ-HĐND ngày 06 tháng 02 năm 2007 của Hội đồng nhân dân quận Bình Tân)</w:t>
      </w:r>
    </w:p>
    <w:p>
      <w:r>
        <w:rPr>
          <w:b w:val="0"/>
          <w:i w:val="0"/>
        </w:rPr>
        <w:t>Đơn vị tính: 1.000 đồng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STT</w:t>
            </w:r>
          </w:p>
        </w:tc>
        <w:tc>
          <w:tcPr>
            <w:tcW w:type="dxa" w:w="1234"/>
          </w:tcPr>
          <w:p>
            <w:r>
              <w:rPr>
                <w:b w:val="0"/>
                <w:i w:val="0"/>
              </w:rPr>
              <w:br/>
            </w:r>
            <w:r>
              <w:rPr>
                <w:b w:val="0"/>
                <w:i w:val="0"/>
              </w:rPr>
              <w:t>Danh mục đầu tư</w:t>
            </w:r>
          </w:p>
        </w:tc>
        <w:tc>
          <w:tcPr>
            <w:tcW w:type="dxa" w:w="1234"/>
          </w:tcPr>
          <w:p>
            <w:r>
              <w:rPr>
                <w:b w:val="0"/>
                <w:i w:val="0"/>
              </w:rPr>
              <w:br/>
            </w:r>
            <w:r>
              <w:rPr>
                <w:b w:val="0"/>
                <w:i w:val="0"/>
              </w:rPr>
              <w:t>Địa điểm</w:t>
            </w:r>
          </w:p>
        </w:tc>
        <w:tc>
          <w:tcPr>
            <w:tcW w:type="dxa" w:w="1234"/>
          </w:tcPr>
          <w:p>
            <w:r>
              <w:rPr>
                <w:b w:val="0"/>
                <w:i w:val="0"/>
              </w:rPr>
              <w:br/>
            </w:r>
            <w:r>
              <w:rPr>
                <w:b w:val="0"/>
                <w:i w:val="0"/>
              </w:rPr>
              <w:t>Chủ đầu tư</w:t>
            </w:r>
          </w:p>
        </w:tc>
        <w:tc>
          <w:tcPr>
            <w:tcW w:type="dxa" w:w="1234"/>
          </w:tcPr>
          <w:p>
            <w:r>
              <w:rPr>
                <w:b w:val="0"/>
                <w:i w:val="0"/>
              </w:rPr>
              <w:br/>
            </w:r>
            <w:r>
              <w:rPr>
                <w:b w:val="0"/>
                <w:i w:val="0"/>
              </w:rPr>
              <w:t>Tổng vốn đầu tư</w:t>
            </w:r>
          </w:p>
        </w:tc>
        <w:tc>
          <w:tcPr>
            <w:tcW w:type="dxa" w:w="1234"/>
          </w:tcPr>
          <w:p>
            <w:r>
              <w:rPr>
                <w:b w:val="0"/>
                <w:i w:val="0"/>
              </w:rPr>
              <w:br/>
            </w:r>
            <w:r>
              <w:rPr>
                <w:b w:val="0"/>
                <w:i w:val="0"/>
              </w:rPr>
              <w:t>Kế hoạch đợt 1</w:t>
            </w:r>
          </w:p>
        </w:tc>
        <w:tc>
          <w:tcPr>
            <w:tcW w:type="dxa" w:w="1234"/>
          </w:tcPr>
          <w:p>
            <w:r>
              <w:rPr>
                <w:b w:val="0"/>
                <w:i w:val="0"/>
              </w:rPr>
              <w:br/>
            </w:r>
            <w:r>
              <w:rPr>
                <w:b w:val="0"/>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