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24/2015/QĐ-UBND Ban hành bảng hệ số điều chỉnh giá đất năm 2015 trên địa bàn huyện Đơn Dương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LÂM ĐỒNG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QUYẾT ĐỊNH</w:t>
      </w:r>
    </w:p>
    <w:p>
      <w:pPr>
        <w:jc w:val="center"/>
      </w:pPr>
      <w:r>
        <w:rPr>
          <w:b/>
          <w:i w:val="0"/>
        </w:rPr>
        <w:t>Về việc ban hành Bảng hệ số điều chỉnh giá đất năm 2015</w:t>
      </w:r>
    </w:p>
    <w:p>
      <w:pPr>
        <w:jc w:val="center"/>
      </w:pPr>
      <w:r>
        <w:rPr>
          <w:b/>
          <w:i w:val="0"/>
        </w:rPr>
        <w:t>trên địa bàn huyện Đơn Dương, tỉnh Lâm Đồng</w:t>
      </w:r>
    </w:p>
    <w:p>
      <w:pPr>
        <w:jc w:val="center"/>
      </w:pPr>
      <w:r>
        <w:rPr>
          <w:b/>
          <w:i w:val="0"/>
        </w:rPr>
        <w:t>ỦY BAN NHÂN DÂN TỈNH LÂM ĐỒNG</w:t>
      </w:r>
    </w:p>
    <w:p>
      <w:pPr>
        <w:jc w:val="both"/>
      </w:pPr>
      <w:r>
        <w:rPr>
          <w:b w:val="0"/>
          <w:i/>
        </w:rPr>
        <w:t>Căn cứ Luật tổ chức Hội đồng nhân dân và Ủy ban nhân dân ngày 26 tháng 11 năm 2003;</w:t>
      </w:r>
    </w:p>
    <w:p>
      <w:pPr>
        <w:jc w:val="both"/>
      </w:pPr>
      <w:r>
        <w:rPr>
          <w:b w:val="0"/>
          <w:i/>
        </w:rPr>
        <w:t>Căn cứ Luật Đất đai số 45/2013/QH13 ngày 29 tháng 11 năm 2013;</w:t>
      </w:r>
    </w:p>
    <w:p>
      <w:pPr>
        <w:jc w:val="both"/>
      </w:pPr>
      <w:r>
        <w:rPr>
          <w:b w:val="0"/>
          <w:i/>
        </w:rPr>
        <w:t>Căn cứ Nghị định số 43/2014/NĐ-CP ngày 15 tháng 5 năm 2014 của Chính phủ quy định chi tiết thi hành một số điều của Luật đất đai; Nghị định số 44/2014/NĐ-CP ngày 15 tháng 5 năm 2014 của Chính phủ quy định về giá đất; Nghị định số 45/2014/NĐ-CP ngày 15 tháng 5 năm 2014 của Chính phủ quy định về thu tiền sử dụng đất; Nghị định số 46/2014/NĐ-CP ngày 15 tháng 5 năm 2014 của Chính phủ quy định về thu tiền thuê đất, thuê mặt nước;</w:t>
      </w:r>
    </w:p>
    <w:p>
      <w:pPr>
        <w:jc w:val="both"/>
      </w:pPr>
      <w:r>
        <w:rPr>
          <w:b w:val="0"/>
          <w:i/>
        </w:rPr>
        <w:t>Căn cứ Thông tư số 76/2014/TT-BTC ngày 16 tháng 6 năm 2014 của Bộ Tài chính hướng dẫn một số điều của Nghị định số 45/2014/NĐ-CP ngày 15 tháng 5 năm 2014 của Chính phủ quy định về thu tiền sử dụng đất; Thông tư số 77/2014/TT-BTC ngày 16 tháng 6 năm 2014 của Bộ Tài chính hướng dẫn một số điều của Nghị định số 46/2014/NĐ-CP ngày 15 tháng 5 năm 2014 của Chính phủ quy định về thu tiền thuê đất, thuê mặt nước;</w:t>
      </w:r>
    </w:p>
    <w:p>
      <w:pPr>
        <w:jc w:val="both"/>
      </w:pPr>
      <w:r>
        <w:rPr>
          <w:b w:val="0"/>
          <w:i/>
        </w:rPr>
        <w:t>Xét đề nghị của Giám đốc Sở Tài chính tại Tờ trình số 463/TTr-STC ngày 17 tháng 3 năm 2015,</w:t>
      </w:r>
    </w:p>
    <w:p>
      <w:pPr>
        <w:jc w:val="center"/>
      </w:pPr>
      <w:r>
        <w:rPr>
          <w:b/>
          <w:i w:val="0"/>
        </w:rPr>
        <w:t>QUYẾT ĐỊNH:</w:t>
      </w:r>
    </w:p>
    <w:p>
      <w:pPr>
        <w:jc w:val="both"/>
      </w:pPr>
      <w:r>
        <w:rPr>
          <w:b/>
          <w:i w:val="0"/>
        </w:rPr>
        <w:t>Điều 1.</w:t>
      </w:r>
      <w:r>
        <w:rPr>
          <w:b w:val="0"/>
          <w:i w:val="0"/>
        </w:rPr>
        <w:t xml:space="preserve"> Ban hành kèm theo Quyết định này Bảng hệ số điều chỉnh giá đất năm 2015 trên địa bàn huyện Đơn Dương, tỉnh Lâm Đồng để làm cơ sở:</w:t>
      </w:r>
    </w:p>
    <w:p>
      <w:pPr>
        <w:jc w:val="both"/>
      </w:pPr>
      <w:r>
        <w:rPr>
          <w:b w:val="0"/>
          <w:i w:val="0"/>
        </w:rPr>
        <w:t>1. Xác định giá đất cụ thể cho các trường hợp theo qui định tại các Điểm a, b, c và d Khoản 4 Điều 114, Khoản 2 Điều 172 và Khoản 3 Điều 189 của Luật Đất đai mà thửa đất hoặc khu đất của dự án có giá trị (tính theo giá đất trong bảng giá đất) dưới 10 tỷ đồng; cụ thể:</w:t>
      </w:r>
    </w:p>
    <w:p>
      <w:pPr>
        <w:jc w:val="both"/>
      </w:pPr>
      <w:r>
        <w:rPr>
          <w:b w:val="0"/>
          <w:i w:val="0"/>
        </w:rPr>
        <w:t>a) Tính tiền sử dụng đất khi Nhà nước công nhận quyền sử dụng đất của hộ gia đình, cá nhân đối với phần diện tích đất ở vượt hạn mức; cho phép chuyển mục đích sử dụng đất từ đất nông nghiệp, đất phi nông nghiệp không phải là đất ở sang đất ở đối với phần diện tích vượt hạn mức giao đất ở cho hộ gia đình, cá nhân; Tính tiền thuê đất đối với đất nông nghiệp vượt hạn mức giao đất, vượt hạn mức nhận chuyển quyền sử dụng đất nông nghiệp của hộ gia đình, cá nhân;</w:t>
      </w:r>
    </w:p>
    <w:p>
      <w:pPr>
        <w:jc w:val="both"/>
      </w:pPr>
      <w:r>
        <w:rPr>
          <w:b w:val="0"/>
          <w:i w:val="0"/>
        </w:rPr>
        <w:t>b) Tính tiền sử dụng đất khi Nhà nước giao đất có thu tiền sử dụng đất không thông qua hình thức đấu giá quyền sử dụng đất; công nhận quyền sử dụng đất, cho phép chuyển mục đích sử dụng đất đối với tổ chức phải nộp tiền sử dụng đất;</w:t>
      </w:r>
    </w:p>
    <w:p>
      <w:pPr>
        <w:jc w:val="both"/>
      </w:pPr>
      <w:r>
        <w:rPr>
          <w:b w:val="0"/>
          <w:i w:val="0"/>
        </w:rPr>
        <w:t>c) Tính tiền thuê đất đối với trường hợp Nhà nước cho thuê đất không thông qua hình thức đấu giá quyền sử dụng đất;</w:t>
      </w:r>
    </w:p>
    <w:p>
      <w:pPr>
        <w:jc w:val="both"/>
      </w:pPr>
      <w:r>
        <w:rPr>
          <w:b w:val="0"/>
          <w:i w:val="0"/>
        </w:rPr>
        <w:t>d) Tính giá trị quyền sử dụng đất khi cổ phần hóa doanh nghiệp nhà nước mà doanh nghiệp nhà nước mà doanh nghiệp cổ phần sử dụng đất thuộc trường hợp Nhà nước giao đất có thu tiền sử dụng đất, cho thuê đất trả tiền thuê đất một lần cho cả thời gian thuê; tính tiền thuê đất đối với trường hợp doanh nghiệp nhà nước cổ phần hóa được Nhà nước cho thuê trả tiền thuê đất hàng năm;</w:t>
      </w:r>
    </w:p>
    <w:p>
      <w:pPr>
        <w:jc w:val="both"/>
      </w:pPr>
      <w:r>
        <w:rPr>
          <w:b w:val="0"/>
          <w:i w:val="0"/>
        </w:rPr>
        <w:t>e) Tổ chức kinh tế, tổ chức sự nghiệp công lập tự chủ tài chính, hộ gia đình, cá nhân, người Việt Nam định cư ở nước ngoài, doanh nghiệp có vốn đầu tư nước ngoài đang được Nhà nước cho thuê đất trả tiền thuê đất hàng năm được chuyển sang thuê đất trả tiền một lần cho cả thời gian thuê và phải xác định lại giá đất cụ thể để tính tiền thuê đất tại thời điểm có quyết định cho phép chuyển sang thuê đất theo hình thức trả tiền một lần cho cả thời gian thuê;</w:t>
      </w:r>
    </w:p>
    <w:p>
      <w:pPr>
        <w:jc w:val="both"/>
      </w:pPr>
      <w:r>
        <w:rPr>
          <w:b w:val="0"/>
          <w:i w:val="0"/>
        </w:rPr>
        <w:t>f) Người mua tài sản được Nhà nước tiếp tục cho thuê đất trong thời gian sử dụng đất còn lại theo giá đất cụ thể, sử dụng đất đúng mục đích đã được xác định trong dự án.</w:t>
      </w:r>
    </w:p>
    <w:p>
      <w:pPr>
        <w:jc w:val="both"/>
      </w:pPr>
      <w:r>
        <w:rPr>
          <w:b w:val="0"/>
          <w:i w:val="0"/>
        </w:rPr>
        <w:t>2. Đối với trường hợp thuê đất thu tiền hàng năm mà phải xác định lại đơn giá thuê đất để điều chỉnh cho chu kỳ tiếp theo; giá khởi điểm để đấu giá quyền sử dụng đất khi Nhà nước cho thuê đất thu tiền thuê đất hàng năm.</w:t>
      </w:r>
    </w:p>
    <w:p>
      <w:pPr>
        <w:jc w:val="both"/>
      </w:pPr>
      <w:r>
        <w:rPr>
          <w:b/>
          <w:i w:val="0"/>
        </w:rPr>
        <w:t xml:space="preserve">Điều 2. </w:t>
      </w:r>
      <w:r>
        <w:rPr>
          <w:b w:val="0"/>
          <w:i w:val="0"/>
        </w:rPr>
        <w:t>Quyết định này có hiệu lực thi hành sau 10 ngày kể từ ngày ký và thay thế Quyết định số 13/2014/QĐ-UBND ngày 21/4/2014 của UBND tỉnh Lâm Đồng về việc ban hành Bảng hệ số điều chỉnh giá đất năm 2014 trên địa bàn huyện Đơn Dương, tỉnh Lâm Đồng.</w:t>
      </w:r>
    </w:p>
    <w:p>
      <w:pPr>
        <w:jc w:val="both"/>
      </w:pPr>
      <w:r>
        <w:rPr>
          <w:b/>
          <w:i w:val="0"/>
        </w:rPr>
        <w:t>Điều 3.</w:t>
      </w:r>
      <w:r>
        <w:rPr>
          <w:b w:val="0"/>
          <w:i w:val="0"/>
        </w:rPr>
        <w:t xml:space="preserve"> Chánh Văn phòng UBND tỉnh; Giám đốc các Sở: Tài chính, Tài nguyên và Môi Trường, Xây dựng; Cục trưởng Cục Thuế; Chủ tịch UBND huyện Đơn Dương; Thủ trưởng các tổ chức, đơn vị và các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Chính phủ;</w:t>
            </w:r>
            <w:r>
              <w:br/>
            </w:r>
            <w:r>
              <w:rPr>
                <w:b w:val="0"/>
                <w:i w:val="0"/>
              </w:rPr>
              <w:br/>
              <w:t xml:space="preserve">        - Website Chính phủ;</w:t>
            </w:r>
            <w:r>
              <w:br/>
            </w:r>
            <w:r>
              <w:rPr>
                <w:b w:val="0"/>
                <w:i w:val="0"/>
              </w:rPr>
              <w:br/>
              <w:t xml:space="preserve">        - Bộ Tài chính</w:t>
            </w:r>
            <w:r>
              <w:br/>
            </w:r>
            <w:r>
              <w:rPr>
                <w:b w:val="0"/>
                <w:i w:val="0"/>
              </w:rPr>
              <w:br/>
              <w:t xml:space="preserve">        - Bộ Tài nguyên và Môi trường;</w:t>
            </w:r>
            <w:r>
              <w:br/>
            </w:r>
            <w:r>
              <w:rPr>
                <w:b w:val="0"/>
                <w:i w:val="0"/>
              </w:rPr>
              <w:br/>
              <w:t xml:space="preserve">        - Cục KTVB (Bộ Tư pháp);</w:t>
            </w:r>
            <w:r>
              <w:br/>
            </w:r>
            <w:r>
              <w:rPr>
                <w:b w:val="0"/>
                <w:i w:val="0"/>
              </w:rPr>
              <w:br/>
              <w:t xml:space="preserve">        - TT Tỉnh ủy, TT HĐND tỉnh;</w:t>
            </w:r>
            <w:r>
              <w:br/>
            </w:r>
            <w:r>
              <w:rPr>
                <w:b w:val="0"/>
                <w:i w:val="0"/>
              </w:rPr>
              <w:br/>
              <w:t xml:space="preserve">        - Đoàn ĐBQH đơn vị tỉnh Lâm Đồng;</w:t>
            </w:r>
            <w:r>
              <w:br/>
            </w:r>
            <w:r>
              <w:rPr>
                <w:b w:val="0"/>
                <w:i w:val="0"/>
              </w:rPr>
              <w:br/>
              <w:t xml:space="preserve">        - CT, các PCT UBND tỉnh;</w:t>
            </w:r>
            <w:r>
              <w:br/>
            </w:r>
            <w:r>
              <w:rPr>
                <w:b w:val="0"/>
                <w:i w:val="0"/>
              </w:rPr>
              <w:br/>
              <w:t xml:space="preserve">        - Sở Tư pháp;</w:t>
            </w:r>
            <w:r>
              <w:br/>
            </w:r>
            <w:r>
              <w:rPr>
                <w:b w:val="0"/>
                <w:i w:val="0"/>
              </w:rPr>
              <w:br/>
              <w:t xml:space="preserve">        - Trung tâm Công báo tỉnh;</w:t>
            </w:r>
            <w:r>
              <w:br/>
            </w:r>
            <w:r>
              <w:rPr>
                <w:b w:val="0"/>
                <w:i w:val="0"/>
              </w:rPr>
              <w:br/>
              <w:t xml:space="preserve">        - Đài PTTH tỉnh;</w:t>
            </w:r>
            <w:r>
              <w:br/>
            </w:r>
            <w:r>
              <w:rPr>
                <w:b w:val="0"/>
                <w:i w:val="0"/>
              </w:rPr>
              <w:br/>
              <w:t xml:space="preserve">        - Báo Lâm Đồng;</w:t>
            </w:r>
            <w:r>
              <w:br/>
            </w:r>
            <w:r>
              <w:rPr>
                <w:b w:val="0"/>
                <w:i w:val="0"/>
              </w:rPr>
              <w:br/>
              <w:t xml:space="preserve">        - Như Điều 3;</w:t>
            </w:r>
            <w:r>
              <w:br/>
            </w:r>
            <w:r>
              <w:rPr>
                <w:b w:val="0"/>
                <w:i w:val="0"/>
              </w:rPr>
              <w:br/>
              <w:t xml:space="preserve">        - LĐ và CV VP UBND tỉnh;</w:t>
            </w:r>
            <w:r>
              <w:br/>
            </w:r>
            <w:r>
              <w:rPr>
                <w:b w:val="0"/>
                <w:i w:val="0"/>
              </w:rPr>
              <w:br/>
              <w:t xml:space="preserve">        - Trung tâm Tin học;</w:t>
            </w:r>
            <w:r>
              <w:br/>
            </w:r>
            <w:r>
              <w:rPr>
                <w:b w:val="0"/>
                <w:i w:val="0"/>
              </w:rPr>
              <w:br/>
              <w:t xml:space="preserve">        - Lưu: VT, TC.</w:t>
            </w:r>
          </w:p>
        </w:tc>
        <w:tc>
          <w:tcPr>
            <w:tcW w:type="dxa" w:w="4320"/>
          </w:tcPr>
          <w:p>
            <w:r>
              <w:rPr>
                <w:b w:val="0"/>
                <w:i w:val="0"/>
              </w:rPr>
              <w:br/>
            </w:r>
            <w:r>
              <w:rPr>
                <w:b/>
                <w:i w:val="0"/>
              </w:rPr>
              <w:t>TM. ỦY BAN NHÂN DÂN</w:t>
            </w:r>
            <w:r>
              <w:br/>
            </w:r>
            <w:r>
              <w:rPr>
                <w:b/>
                <w:i w:val="0"/>
              </w:rPr>
              <w:br/>
              <w:t xml:space="preserve">         CHỦ TỊCH</w:t>
            </w:r>
            <w:r>
              <w:br/>
            </w:r>
            <w:r>
              <w:rPr>
                <w:b/>
                <w:i/>
              </w:rPr>
              <w:t>(Đã ký)</w:t>
            </w:r>
            <w:r>
              <w:br/>
            </w:r>
            <w:r>
              <w:br/>
            </w:r>
            <w:r>
              <w:rPr>
                <w:b/>
                <w:i w:val="0"/>
              </w:rPr>
              <w:br/>
              <w:t xml:space="preserve">         Đoàn Văn Việt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LÂM ĐỒNG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 xml:space="preserve"> BẢNG HỆ SỐ ĐIỀU CHỈNH GIÁ ĐẤT NĂM 2015 </w:t>
      </w:r>
    </w:p>
    <w:p>
      <w:pPr>
        <w:jc w:val="center"/>
      </w:pPr>
      <w:r>
        <w:rPr>
          <w:b/>
          <w:i w:val="0"/>
        </w:rPr>
        <w:t>TRÊN ĐỊA BÀN HUYỆN ĐƠN DƯƠNG, TỈNH LÂM ĐỒNG</w:t>
      </w:r>
    </w:p>
    <w:p>
      <w:pPr>
        <w:jc w:val="center"/>
      </w:pPr>
      <w:r>
        <w:rPr>
          <w:b w:val="0"/>
          <w:i/>
        </w:rPr>
        <w:t xml:space="preserve">(Ban hành kèm theo Quyết định số 24/2015/QĐ-UBND ngày 27/3/2015 </w:t>
      </w:r>
    </w:p>
    <w:p>
      <w:pPr>
        <w:jc w:val="center"/>
      </w:pPr>
      <w:r>
        <w:rPr>
          <w:b w:val="0"/>
          <w:i/>
        </w:rPr>
        <w:t>của Ủy ban nhân dân tỉnh Lâm Đồng)</w:t>
      </w:r>
    </w:p>
    <w:p>
      <w:pPr>
        <w:jc w:val="center"/>
      </w:pPr>
      <w:r>
        <w:rPr>
          <w:b/>
          <w:i w:val="0"/>
        </w:rPr>
        <w:t>I. ĐẤT NÔNG NGHIỆP</w:t>
      </w:r>
    </w:p>
    <w:p>
      <w:pPr>
        <w:jc w:val="both"/>
      </w:pPr>
      <w:r>
        <w:rPr>
          <w:b/>
          <w:i w:val="0"/>
        </w:rPr>
        <w:t>1. ĐẤT NÔNG NGHIỆP TRỒNG CÂY HÀNG NĂM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đơn vị hành chính</w:t>
            </w:r>
          </w:p>
        </w:tc>
        <w:tc>
          <w:tcPr>
            <w:tcW w:type="dxa" w:w="2160"/>
          </w:tcPr>
          <w:p>
            <w:r>
              <w:rPr>
                <w:b w:val="0"/>
                <w:i w:val="0"/>
              </w:rPr>
              <w:br/>
            </w:r>
            <w:r>
              <w:rPr>
                <w:b/>
                <w:i w:val="0"/>
              </w:rPr>
              <w:t>Giá đất</w:t>
            </w:r>
            <w:r>
              <w:br/>
            </w:r>
            <w:r>
              <w:rPr>
                <w:b/>
                <w:i w:val="0"/>
              </w:rPr>
              <w:t>(1.000 đồng/m</w:t>
            </w:r>
            <w:r>
              <w:rPr>
                <w:b/>
                <w:i w:val="0"/>
              </w:rPr>
              <w:t>2</w:t>
            </w:r>
            <w:r>
              <w:rPr>
                <w:b/>
                <w:i w:val="0"/>
              </w:rPr>
              <w:t>)</w:t>
            </w:r>
          </w:p>
        </w:tc>
        <w:tc>
          <w:tcPr>
            <w:tcW w:type="dxa" w:w="2160"/>
          </w:tcPr>
          <w:p>
            <w:r>
              <w:rPr>
                <w:b w:val="0"/>
                <w:i w:val="0"/>
              </w:rPr>
              <w:br/>
            </w:r>
            <w:r>
              <w:rPr>
                <w:b/>
                <w:i w:val="0"/>
              </w:rPr>
              <w:t>Hệ số điều chỉnh giá đất</w:t>
            </w:r>
          </w:p>
        </w:tc>
      </w:tr>
    </w:tbl>
    <w:p>
      <w:r>
        <w:rPr>
          <w:b/>
          <w:i w:val="0"/>
        </w:rPr>
        <w:t>2. ĐẤT NÔNG NGHIỆP TRỒNG CÂY LÂU NĂM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đơn vị hành chính</w:t>
            </w:r>
          </w:p>
        </w:tc>
        <w:tc>
          <w:tcPr>
            <w:tcW w:type="dxa" w:w="2160"/>
          </w:tcPr>
          <w:p>
            <w:r>
              <w:rPr>
                <w:b w:val="0"/>
                <w:i w:val="0"/>
              </w:rPr>
              <w:br/>
            </w:r>
            <w:r>
              <w:rPr>
                <w:b/>
                <w:i w:val="0"/>
              </w:rPr>
              <w:t>Gi</w:t>
            </w:r>
            <w:r>
              <w:rPr>
                <w:b/>
                <w:i w:val="0"/>
              </w:rPr>
              <w:t>á</w:t>
            </w:r>
            <w:r>
              <w:rPr>
                <w:b/>
                <w:i w:val="0"/>
              </w:rPr>
              <w:t xml:space="preserve"> </w:t>
            </w:r>
            <w:r>
              <w:rPr>
                <w:b/>
                <w:i w:val="0"/>
              </w:rPr>
              <w:t>đất</w:t>
            </w:r>
            <w:r>
              <w:br/>
            </w:r>
            <w:r>
              <w:rPr>
                <w:b/>
                <w:i/>
              </w:rPr>
              <w:t>(1.000 đồng/m</w:t>
            </w:r>
            <w:r>
              <w:rPr>
                <w:b/>
                <w:i/>
              </w:rPr>
              <w:t>2</w:t>
            </w:r>
            <w:r>
              <w:rPr>
                <w:b/>
                <w:i/>
              </w:rPr>
              <w:t>)</w:t>
            </w:r>
          </w:p>
        </w:tc>
        <w:tc>
          <w:tcPr>
            <w:tcW w:type="dxa" w:w="2160"/>
          </w:tcPr>
          <w:p>
            <w:r>
              <w:rPr>
                <w:b w:val="0"/>
                <w:i w:val="0"/>
              </w:rPr>
              <w:br/>
            </w:r>
            <w:r>
              <w:rPr>
                <w:b/>
                <w:i w:val="0"/>
              </w:rPr>
              <w:t>Hệ số điều chỉnh giá đất</w:t>
            </w:r>
          </w:p>
        </w:tc>
      </w:tr>
    </w:tbl>
    <w:p>
      <w:r>
        <w:rPr>
          <w:b/>
          <w:i w:val="0"/>
        </w:rPr>
        <w:t>3. ĐẤT NUÔI TRỒNG THỦY SẢN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đơn vị hành chính</w:t>
            </w:r>
          </w:p>
        </w:tc>
        <w:tc>
          <w:tcPr>
            <w:tcW w:type="dxa" w:w="2160"/>
          </w:tcPr>
          <w:p>
            <w:r>
              <w:rPr>
                <w:b w:val="0"/>
                <w:i w:val="0"/>
              </w:rPr>
              <w:br/>
            </w:r>
            <w:r>
              <w:rPr>
                <w:b/>
                <w:i w:val="0"/>
              </w:rPr>
              <w:t>Giá đất</w:t>
            </w:r>
            <w:r>
              <w:br/>
            </w:r>
            <w:r>
              <w:rPr>
                <w:b/>
                <w:i/>
              </w:rPr>
              <w:t>(1.000 đồng/m</w:t>
            </w:r>
            <w:r>
              <w:rPr>
                <w:b/>
                <w:i/>
              </w:rPr>
              <w:t>2</w:t>
            </w:r>
            <w:r>
              <w:rPr>
                <w:b/>
                <w:i/>
              </w:rPr>
              <w:t>)</w:t>
            </w:r>
          </w:p>
        </w:tc>
        <w:tc>
          <w:tcPr>
            <w:tcW w:type="dxa" w:w="2160"/>
          </w:tcPr>
          <w:p>
            <w:r>
              <w:rPr>
                <w:b w:val="0"/>
                <w:i w:val="0"/>
              </w:rPr>
              <w:br/>
            </w:r>
            <w:r>
              <w:rPr>
                <w:b/>
                <w:i w:val="0"/>
              </w:rPr>
              <w:t>Hệ số điều chỉnh giá đất</w:t>
            </w:r>
          </w:p>
        </w:tc>
      </w:tr>
    </w:tbl>
    <w:p>
      <w:r>
        <w:rPr>
          <w:b/>
          <w:i w:val="0"/>
        </w:rPr>
        <w:t>4. ĐẤT NÔNG NGHIỆP KHÁC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đơn vị hành chính</w:t>
            </w:r>
          </w:p>
        </w:tc>
        <w:tc>
          <w:tcPr>
            <w:tcW w:type="dxa" w:w="2160"/>
          </w:tcPr>
          <w:p>
            <w:r>
              <w:rPr>
                <w:b w:val="0"/>
                <w:i w:val="0"/>
              </w:rPr>
              <w:br/>
            </w:r>
            <w:r>
              <w:rPr>
                <w:b/>
                <w:i w:val="0"/>
              </w:rPr>
              <w:t>Giá đất</w:t>
            </w:r>
            <w:r>
              <w:rPr>
                <w:b w:val="0"/>
                <w:i w:val="0"/>
              </w:rPr>
              <w:br/>
            </w:r>
            <w:r>
              <w:rPr>
                <w:b/>
                <w:i/>
              </w:rPr>
              <w:t>(</w:t>
            </w:r>
            <w:r>
              <w:rPr>
                <w:b/>
                <w:i/>
              </w:rPr>
              <w:t>1.</w:t>
            </w:r>
            <w:r>
              <w:rPr>
                <w:b/>
                <w:i/>
              </w:rPr>
              <w:t>000 đ</w:t>
            </w:r>
            <w:r>
              <w:rPr>
                <w:b/>
                <w:i/>
              </w:rPr>
              <w:t>ồ</w:t>
            </w:r>
            <w:r>
              <w:rPr>
                <w:b/>
                <w:i/>
              </w:rPr>
              <w:t>ng/m</w:t>
            </w:r>
            <w:r>
              <w:rPr>
                <w:b/>
                <w:i/>
              </w:rPr>
              <w:t>2</w:t>
            </w:r>
            <w:r>
              <w:rPr>
                <w:b/>
                <w:i/>
              </w:rPr>
              <w:t>)</w:t>
            </w:r>
          </w:p>
        </w:tc>
        <w:tc>
          <w:tcPr>
            <w:tcW w:type="dxa" w:w="2160"/>
          </w:tcPr>
          <w:p>
            <w:r>
              <w:rPr>
                <w:b w:val="0"/>
                <w:i w:val="0"/>
              </w:rPr>
              <w:br/>
            </w:r>
            <w:r>
              <w:rPr>
                <w:b/>
                <w:i w:val="0"/>
              </w:rPr>
              <w:t>Hệ số điều chỉnh gỉá đất</w:t>
            </w:r>
          </w:p>
        </w:tc>
      </w:tr>
    </w:tbl>
    <w:p>
      <w:r>
        <w:rPr>
          <w:b/>
          <w:i w:val="0"/>
        </w:rPr>
        <w:t>II. ĐẤT LÂM NGHIỆP:</w:t>
      </w:r>
      <w:r>
        <w:rPr>
          <w:b w:val="0"/>
          <w:i w:val="0"/>
        </w:rPr>
        <w:t xml:space="preserve"> </w:t>
      </w:r>
      <w:r>
        <w:rPr>
          <w:b w:val="0"/>
          <w:i w:val="0"/>
        </w:rPr>
        <w:t>Hệ số điều chỉnh giá đất: 1,0.</w:t>
      </w:r>
    </w:p>
    <w:p>
      <w:pPr>
        <w:jc w:val="center"/>
      </w:pPr>
      <w:r>
        <w:rPr>
          <w:b/>
          <w:i w:val="0"/>
        </w:rPr>
        <w:t>III. ĐẤT Ở TẠI NÔNG THÔN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đơn vị hành chính, khu vực, đường, đoạn đường</w:t>
            </w:r>
          </w:p>
        </w:tc>
        <w:tc>
          <w:tcPr>
            <w:tcW w:type="dxa" w:w="2160"/>
          </w:tcPr>
          <w:p>
            <w:r>
              <w:rPr>
                <w:b w:val="0"/>
                <w:i w:val="0"/>
              </w:rPr>
              <w:br/>
            </w:r>
            <w:r>
              <w:rPr>
                <w:b/>
                <w:i w:val="0"/>
              </w:rPr>
              <w:t>Giá đất (1</w:t>
            </w:r>
            <w:r>
              <w:rPr>
                <w:b/>
                <w:i w:val="0"/>
              </w:rPr>
              <w:t>.</w:t>
            </w:r>
            <w:r>
              <w:rPr>
                <w:b/>
                <w:i w:val="0"/>
              </w:rPr>
              <w:t>000 đồng/m</w:t>
            </w:r>
            <w:r>
              <w:rPr>
                <w:b/>
                <w:i w:val="0"/>
              </w:rPr>
              <w:t>2</w:t>
            </w:r>
            <w:r>
              <w:rPr>
                <w:b/>
                <w:i w:val="0"/>
              </w:rPr>
              <w:t>)</w:t>
            </w:r>
          </w:p>
        </w:tc>
        <w:tc>
          <w:tcPr>
            <w:tcW w:type="dxa" w:w="2160"/>
          </w:tcPr>
          <w:p>
            <w:r>
              <w:rPr>
                <w:b w:val="0"/>
                <w:i w:val="0"/>
              </w:rPr>
              <w:br/>
            </w:r>
            <w:r>
              <w:rPr>
                <w:b/>
                <w:i w:val="0"/>
              </w:rPr>
              <w:t>Hệ số điều chỉnh giá đất</w:t>
            </w:r>
          </w:p>
        </w:tc>
      </w:tr>
    </w:tbl>
    <w:p>
      <w:pPr>
        <w:jc w:val="center"/>
      </w:pPr>
      <w:r>
        <w:rPr>
          <w:b/>
          <w:i w:val="0"/>
        </w:rPr>
        <w:t>IV. ĐẤT Ở TẠI ĐÔ THỊ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w:t>
            </w:r>
            <w:r>
              <w:rPr>
                <w:b/>
                <w:i w:val="0"/>
              </w:rPr>
              <w:t>ố</w:t>
            </w:r>
            <w:r>
              <w:rPr>
                <w:b/>
                <w:i w:val="0"/>
              </w:rPr>
              <w:t xml:space="preserve"> </w:t>
            </w:r>
            <w:r>
              <w:rPr>
                <w:b/>
                <w:i w:val="0"/>
              </w:rPr>
              <w:t>TT</w:t>
            </w:r>
          </w:p>
        </w:tc>
        <w:tc>
          <w:tcPr>
            <w:tcW w:type="dxa" w:w="2160"/>
          </w:tcPr>
          <w:p>
            <w:r>
              <w:rPr>
                <w:b w:val="0"/>
                <w:i w:val="0"/>
              </w:rPr>
              <w:br/>
            </w:r>
            <w:r>
              <w:rPr>
                <w:b/>
                <w:i w:val="0"/>
              </w:rPr>
              <w:t>Tên đơn vị hành chính, khu vực, đường, đoạn đường</w:t>
            </w:r>
          </w:p>
        </w:tc>
        <w:tc>
          <w:tcPr>
            <w:tcW w:type="dxa" w:w="2160"/>
          </w:tcPr>
          <w:p>
            <w:r>
              <w:rPr>
                <w:b w:val="0"/>
                <w:i w:val="0"/>
              </w:rPr>
              <w:br/>
            </w:r>
            <w:r>
              <w:rPr>
                <w:b/>
                <w:i w:val="0"/>
              </w:rPr>
              <w:t>Giá đất (1.000 đồng/m</w:t>
            </w:r>
            <w:r>
              <w:rPr>
                <w:b/>
                <w:i w:val="0"/>
              </w:rPr>
              <w:t>2</w:t>
            </w:r>
            <w:r>
              <w:rPr>
                <w:b/>
                <w:i w:val="0"/>
              </w:rPr>
              <w:t>)</w:t>
            </w:r>
          </w:p>
        </w:tc>
        <w:tc>
          <w:tcPr>
            <w:tcW w:type="dxa" w:w="2160"/>
          </w:tcPr>
          <w:p>
            <w:r>
              <w:rPr>
                <w:b w:val="0"/>
                <w:i w:val="0"/>
              </w:rPr>
              <w:br/>
            </w:r>
            <w:r>
              <w:rPr>
                <w:b/>
                <w:i w:val="0"/>
              </w:rPr>
              <w:t>Hệ số điều chỉnh giá đất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Đoàn Văn Việt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