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24/2022/QĐ-UBND quy định mức thu học phí trong năm học 2022-2023 và vùng thu học phí từ năm học 2022-2023 đối với cơ sở giáo dục mầm non, giáo dục phổ thông công lập trên địa bàn tỉnh Ninh Thuận.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NINH THUẬN</w:t>
      </w:r>
      <w:r>
        <w:rPr>
          <w:b w:val="0"/>
          <w:i w:val="0"/>
        </w:rPr>
        <w:br/>
      </w:r>
      <w:r>
        <w:rPr>
          <w:b/>
          <w:i w:val="0"/>
        </w:rPr>
        <w:t>__________</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w:t>
      </w:r>
      <w:r>
        <w:rPr>
          <w:b w:val="0"/>
          <w:i w:val="0"/>
        </w:rPr>
        <w:br/>
      </w:r>
      <w:r>
        <w:rPr>
          <w:b w:val="0"/>
          <w:i w:val="0"/>
        </w:rPr>
        <w:br/>
      </w:r>
      <w:r>
        <w:rPr>
          <w:b w:val="0"/>
          <w:i w:val="0"/>
        </w:rPr>
        <w:br/>
      </w:r>
      <w:r>
        <w:rPr>
          <w:b w:val="0"/>
          <w:i w:val="0"/>
        </w:rPr>
        <w:t xml:space="preserve">Số: 24/2022/QĐ-UBND </w:t>
      </w:r>
      <w:r>
        <w:rPr>
          <w:b w:val="0"/>
          <w:i w:val="0"/>
        </w:rPr>
        <w:br/>
      </w:r>
      <w:r>
        <w:rPr>
          <w:b w:val="0"/>
          <w:i/>
        </w:rPr>
        <w:t xml:space="preserve">Ninh Thuận, ngày 06 tháng 5 năm 2022 </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NINH THUẬN</w:t>
      </w:r>
      <w:r>
        <w:rPr>
          <w:b w:val="0"/>
          <w:i w:val="0"/>
        </w:rPr>
        <w:br/>
      </w:r>
      <w:r>
        <w:rPr>
          <w:b/>
          <w:i w:val="0"/>
        </w:rPr>
        <w:t>__________</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w:t>
      </w:r>
      <w:r>
        <w:rPr>
          <w:b w:val="0"/>
          <w:i w:val="0"/>
        </w:rPr>
        <w:br/>
      </w:r>
      <w:r>
        <w:rPr>
          <w:b w:val="0"/>
          <w:i w:val="0"/>
        </w:rPr>
        <w:br/>
      </w:r>
      <w:r>
        <w:rPr>
          <w:b w:val="0"/>
          <w:i w:val="0"/>
        </w:rPr>
        <w:br/>
      </w:r>
      <w:r>
        <w:rPr>
          <w:b w:val="0"/>
          <w:i w:val="0"/>
        </w:rPr>
        <w:t xml:space="preserve">Số: 24/2022/QĐ-UBND </w:t>
      </w:r>
      <w:r>
        <w:rPr>
          <w:b w:val="0"/>
          <w:i w:val="0"/>
        </w:rPr>
        <w:br/>
      </w:r>
      <w:r>
        <w:rPr>
          <w:b w:val="0"/>
          <w:i/>
        </w:rPr>
        <w:t xml:space="preserve">Ninh Thuận, ngày 06 tháng 5 năm 2022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rPr>
                <w:b w:val="0"/>
                <w:i w:val="0"/>
              </w:rPr>
              <w:br/>
            </w:r>
            <w:r>
              <w:rPr>
                <w:b/>
                <w:i w:val="0"/>
              </w:rPr>
              <w:t>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w:t>
            </w:r>
          </w:p>
        </w:tc>
      </w:tr>
    </w:tbl>
    <w:p>
      <w:pPr>
        <w:jc w:val="center"/>
      </w:pPr>
      <w:r>
        <w:rPr>
          <w:b/>
          <w:i w:val="0"/>
        </w:rPr>
        <w:t>QUYẾT ĐỊNH</w:t>
      </w:r>
    </w:p>
    <w:p>
      <w:pPr>
        <w:jc w:val="center"/>
      </w:pPr>
      <w:r>
        <w:rPr>
          <w:b/>
          <w:i w:val="0"/>
        </w:rPr>
        <w:t>Quy định mức thu học phí trong năm học 2022-2023 và vùng thu học phí từ</w:t>
      </w:r>
      <w:r>
        <w:br/>
      </w:r>
      <w:r>
        <w:rPr>
          <w:b/>
          <w:i w:val="0"/>
        </w:rPr>
        <w:br/>
        <w:t xml:space="preserve">     năm học 2022-2023 đối với cơ sở giáo dục mầm non, giáo dục phổ thông</w:t>
      </w:r>
      <w:r>
        <w:br/>
      </w:r>
      <w:r>
        <w:rPr>
          <w:b/>
          <w:i w:val="0"/>
        </w:rPr>
        <w:br/>
        <w:t xml:space="preserve">     công lập trên địa bàn tỉnh Ninh Thuận</w:t>
      </w:r>
    </w:p>
    <w:p>
      <w:pPr>
        <w:jc w:val="center"/>
      </w:pPr>
      <w:r>
        <w:rPr>
          <w:b/>
          <w:i w:val="0"/>
        </w:rPr>
        <w:t>_______________</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Giáo dục ngày 14 tháng 6 năm 2019;</w:t>
      </w:r>
    </w:p>
    <w:p>
      <w:r>
        <w:rPr>
          <w:b w:val="0"/>
          <w:i/>
        </w:rPr>
        <w:t>Căn cứ Luật Ngân sách nhà nước ngày 25 tháng 6 năm 2015;</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11năm 2013 của Chính phủ quy định chi tiết và hướng dẫn thi hành một số điều của Luật Giá;</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
        <w:rPr>
          <w:b w:val="0"/>
          <w:i/>
        </w:rPr>
        <w:t>Căn cứ Nghị quyết số 30a/2008/NQ-CP ngày 27 tháng 12 năm 2008 của Chính phủ về Chương trình hỗ trợ giảm nghèo nhanh và bền vững đối với 61 huyện nghèo;</w:t>
      </w:r>
    </w:p>
    <w:p>
      <w:r>
        <w:rPr>
          <w:b w:val="0"/>
          <w:i/>
        </w:rPr>
        <w:t>Thực hiện Quyết định số 861/QĐ-TTg ngày 04 tháng 6 năm 2021 của Thủ tướng Chính phủ phê duyệt danh sách các xã khu vực III, khu vực II, Khu vực I thuộc vùng đồng bào dân tộc thiểu số và miền núi giai đoạn 2021-2025;</w:t>
      </w:r>
    </w:p>
    <w:p>
      <w:r>
        <w:rPr>
          <w:b w:val="0"/>
          <w:i/>
        </w:rPr>
        <w:t>Thực hiện Quyết định số 612/QĐ-UBDT ngày 16 tháng 9 năm 2021 của Bộ trưởng, Chủ nhiệm Ủy ban Dân tộc phê duyệt danh sách các thôn đặc biệt khó khăn vùng đồng bào dân tộc thiểu số và miền núi giai đoạn 2021-2025;</w:t>
      </w:r>
    </w:p>
    <w:p>
      <w:r>
        <w:rPr>
          <w:b w:val="0"/>
          <w:i/>
        </w:rPr>
        <w:t>Thực hiện Quyết định số 353/QĐ-TTg ngày 15/3/2022 của Thủ tướng Chính phủ phê duyệt danh sách huyện nghèo, xã đặc biệt khó khăn vùng bãi ngang, ven biển và hải đảo giai đoạn 2021- 2025;</w:t>
      </w:r>
    </w:p>
    <w:p>
      <w:r>
        <w:rPr>
          <w:b w:val="0"/>
          <w:i/>
        </w:rPr>
        <w:t>Căn cứ Nghị quyết số 01/2022/NQ-HĐND ngày 25 tháng 3 năm 2022 của Hội đồng nhân dân tỉnh quy định mức thu học phí trong năm học 2022-2023 và vùng thu học phí từ năm học 2022-2023 đối với cơ sở giáo dục thuộc hệ thống giáo dục quốc dân trên địa bàn tỉnh Ninh Thuận;</w:t>
      </w:r>
    </w:p>
    <w:p>
      <w:r>
        <w:rPr>
          <w:b w:val="0"/>
          <w:i/>
        </w:rPr>
        <w:t>Theo đề nghị của Giám đốc Sở Giáo dục và Đào tạo tại Tờ trình số 881/TTr-SGDĐT ngày 27 tháng 4 năm 2022 và Báo cáo thẩm định của Sở Tư pháp tại Báo cáo số 878/BC-STP ngày 22 tháng 4 năm 2022.</w:t>
      </w:r>
    </w:p>
    <w:p>
      <w:pPr>
        <w:jc w:val="center"/>
      </w:pPr>
      <w:r>
        <w:rPr>
          <w:b/>
          <w:i w:val="0"/>
        </w:rPr>
        <w:t>QUYẾT ĐỊNH:</w:t>
      </w:r>
    </w:p>
    <w:p>
      <w:r>
        <w:rPr>
          <w:b/>
          <w:i w:val="0"/>
        </w:rPr>
        <w:t>Điều 1. Phạm vi điều chỉnh và đối tượng áp dụng</w:t>
      </w:r>
    </w:p>
    <w:p>
      <w:r>
        <w:rPr>
          <w:b/>
          <w:i w:val="0"/>
        </w:rPr>
        <w:t>1. Phạm vi điều chỉnh</w:t>
      </w:r>
    </w:p>
    <w:p>
      <w:r>
        <w:rPr>
          <w:b w:val="0"/>
          <w:i w:val="0"/>
        </w:rPr>
        <w:t>Quyết định này quy định mức thu học phí trong năm học 2022-2023 và vùng thu học phí từ năm học 2022-2023 đối với cơ sở giáo dục mầm non, giáo dục phổ thông công lập trên địa bàn tỉnh Ninh Thuận.</w:t>
      </w:r>
    </w:p>
    <w:p>
      <w:r>
        <w:rPr>
          <w:b/>
          <w:i w:val="0"/>
        </w:rPr>
        <w:t>2. Đối tượng áp dụng</w:t>
      </w:r>
    </w:p>
    <w:p>
      <w:r>
        <w:rPr>
          <w:b w:val="0"/>
          <w:i w:val="0"/>
        </w:rPr>
        <w:t>a) Trẻ em mầm non và học sinh phổ thông hệ công lập; học sinh, học viên học tại cơ sở giáo dục thường xuyên theo chương trình giáo dục phổ thông.</w:t>
      </w:r>
    </w:p>
    <w:p>
      <w:r>
        <w:rPr>
          <w:b w:val="0"/>
          <w:i w:val="0"/>
        </w:rPr>
        <w:t>b) Cơ quan, tổ chức, cá nhân có liên quan khác trên địa bàn tỉnh Ninh Thuận.</w:t>
      </w:r>
    </w:p>
    <w:p>
      <w:r>
        <w:rPr>
          <w:b/>
          <w:i w:val="0"/>
        </w:rPr>
        <w:t>Điều 2. Mức thu và vùng thu học phí đối với cơ sở giáo dục mầm non, giáo dục phổ thông công lập</w:t>
      </w:r>
    </w:p>
    <w:p>
      <w:r>
        <w:rPr>
          <w:b w:val="0"/>
          <w:i w:val="0"/>
        </w:rPr>
        <w:t>1. Mức thu học phí (Đính kèm Phụ lục I).</w:t>
      </w:r>
    </w:p>
    <w:p>
      <w:r>
        <w:rPr>
          <w:b w:val="0"/>
          <w:i w:val="0"/>
        </w:rPr>
        <w:t>2. Vùng thu học phí (Đính kèm Phụ lục II).</w:t>
      </w:r>
    </w:p>
    <w:p>
      <w:r>
        <w:rPr>
          <w:b/>
          <w:i w:val="0"/>
        </w:rPr>
        <w:t>Điều 3. Thời gian thực hiện</w:t>
      </w:r>
    </w:p>
    <w:p>
      <w:r>
        <w:rPr>
          <w:b w:val="0"/>
          <w:i w:val="0"/>
        </w:rPr>
        <w:t>1. Mức thu học phí thực hiện trong năm học 2022-2023.</w:t>
      </w:r>
    </w:p>
    <w:p>
      <w:r>
        <w:rPr>
          <w:b w:val="0"/>
          <w:i w:val="0"/>
        </w:rPr>
        <w:t>2. Vùng thu học phí thực hiện từ năm học 2022-2023.</w:t>
      </w:r>
    </w:p>
    <w:p>
      <w:r>
        <w:rPr>
          <w:b/>
          <w:i w:val="0"/>
        </w:rPr>
        <w:t>Điều 4. Tổ chức thực hiện</w:t>
      </w:r>
    </w:p>
    <w:p>
      <w:r>
        <w:rPr>
          <w:b w:val="0"/>
          <w:i w:val="0"/>
        </w:rPr>
        <w:t>Giao Sở Giáo dục và Đào tạo phối hợp với Sở Tài chính, Ủy ban nhân dân các huyện, thành phố và các cơ quan, đơn vị có liên quan trên địa bàn tỉnh triển khai Quyết định này.</w:t>
      </w:r>
    </w:p>
    <w:p>
      <w:r>
        <w:rPr>
          <w:b/>
          <w:i w:val="0"/>
        </w:rPr>
        <w:t>Điều 5. Hiệu lực thi hành</w:t>
      </w:r>
    </w:p>
    <w:p>
      <w:r>
        <w:rPr>
          <w:b w:val="0"/>
          <w:i w:val="0"/>
        </w:rPr>
        <w:t xml:space="preserve">Quyết định này có hiệu lực kể từ ngày 16 tháng 5 năm 2022 và thay thế các quyết định sau đây: </w:t>
      </w:r>
    </w:p>
    <w:p>
      <w:r>
        <w:rPr>
          <w:b w:val="0"/>
          <w:i w:val="0"/>
        </w:rPr>
        <w:t>1. Quyết định số 69/2016/QĐ-UBND ngày 29 tháng 9 năm 2016 của Ủy ban nhân dân tỉnh Ninh Thuận quy định về mức thu, quản lý học phí đối với cơ sở giáo dục thuộc hệ thống giáo dục quốc dân và chính sách miễn, giảm học phí, hỗ trợ chi phí học tập từ năm học 2016-2017 đến năm học 2020-2021 trên địa bàn tỉnh Ninh Thuận.</w:t>
      </w:r>
    </w:p>
    <w:p>
      <w:r>
        <w:rPr>
          <w:b w:val="0"/>
          <w:i w:val="0"/>
        </w:rPr>
        <w:t>2. Quyết định số 16/2019/QĐ-UBND ngày 19 tháng 3 năm 2019 của Ủy ban nhân dân tỉnh Ninh Thuận sửa đổi, bổ sung một số điều của Quy định về mức thu, vùng thu, quản lý học phí đối với cơ sở giáo dục thuộc hệ thống giáo dục Quốc dân và chính sách miễm giảm học phí, hỗ trợ chi phí học tập từ năm học 2016-2017 đến năm học 2020-2021 trên địa bàn tỉnh Ninh Thuận ban hành kèm theo Quyết định số 69/2016/QĐ-UBND ngày 29/9/2016 của Ủy ban nhân dân tỉnh Ninh Thuận.</w:t>
      </w:r>
    </w:p>
    <w:p>
      <w:r>
        <w:rPr>
          <w:b w:val="0"/>
          <w:i w:val="0"/>
        </w:rPr>
        <w:t>3. Quyết định số 24/2020/QĐ-UBND ngày 20 tháng 7 năm 2020 của Ủy ban nhân dân tỉnh Ninh Thuận sửa đổi, bổ sung một số điều của Quyết định số 16/2019/QĐ-UBND ngày 19 tháng 3 năm 2019 của UBND tỉnh Ninh Thuận sửa đổi, bổ sung một số điều của Quy định về mức thu, vùng thu, quản lý học phí đối với cơ sở giáo dục thuộc hệ thống giáo dục Quốc dân và chính sách miễm giảm học phí, hỗ trợ chi phí học tập từ năm học 2016-2017 đến năm học 2020-2021 trên địa bàn tỉnh Ninh Thuận ban hành kèm theo Quyết định số 69/2016/QĐ- UBND ngày 29 tháng 9 năm 2016 của Ủy ban nhân dân tỉnh Ninh Thuận.</w:t>
      </w:r>
    </w:p>
    <w:p>
      <w:r>
        <w:rPr>
          <w:b w:val="0"/>
          <w:i w:val="0"/>
        </w:rPr>
        <w:t>4. Quyết định số 73/2021/QĐ-UBND ngày 01 tháng 10 năm 2021 của Ủy ban nhân dân tỉnh Ninh Thuận kéo dài thời hạn thực hiện các Quyết định của Ủy ban nhân dân tỉnh Ninh Thuận quy định về mức thu, vùng thu, quản lý học phí đối với cơ sở giáo dục thuộc hệ thống giáo dục quốc dân và chính sách miễn, giảm học phí, hỗ trợ chi phí học tập từ năm học 2016-2017 đến năm học 2020- 2021 đối với năm học 2021-2022 trên địa bàn tỉnh Ninh Thuận.</w:t>
      </w:r>
    </w:p>
    <w:p>
      <w:r>
        <w:rPr>
          <w:b w:val="0"/>
          <w:i w:val="0"/>
        </w:rPr>
        <w:t>5. Quyết định số 95/2021/QĐ-UBND ngày 30 tháng 12 năm 2021 của Ủy ban nhân dân tỉnh Ninh Thuận sửa đổi, bổ sung Phụ lục II kèm theo Quyết định số 16/2019/QĐ- UBND ngày 19 tháng 3 năm 2019 của Ủy ban nhân dân tỉnh Ninh Thuận về sửa đổi, bổ sung một số điều của Quy định về mức thu, vùng thu, quản lý học phí đối với cơ sở giáo dục thuộc hệ thống giáo dục quốc dân và chính sách miễn, giảm học phí, hỗ trợ chi phí học tập từ năm học 2016-2017 đến năm học 2020-2021 trên địa bàn tỉnh Ninh Thuận ban hành theo Quyết định số 69/2016/QĐ-UBND ngày 29 tháng 9 năm 2016 của Ủy ban nhân dân tỉnh Ninh Thuận.</w:t>
      </w:r>
    </w:p>
    <w:p>
      <w:r>
        <w:rPr>
          <w:b w:val="0"/>
          <w:i w:val="0"/>
        </w:rPr>
        <w:t>Chánh Văn phòng Ủy ban nhân dân tỉnh, Giám đốc các Sở, Thủ trưởng các Ban, ngành thuộc tỉnh; Chủ tịch Ủy ban nhân dân các huyện, thành phố; Thủ trưởng các cơ quan, đơn vị có liên quan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Long Biên</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Long Biên</w:t>
      </w:r>
      <w:r>
        <w:rPr>
          <w:b w:val="0"/>
          <w:i w:val="0"/>
        </w:rPr>
        <w:br/>
      </w:r>
    </w:p>
    <w:p>
      <w:r>
        <w:rPr>
          <w:b w:val="0"/>
          <w:i w:val="0"/>
        </w:rPr>
        <w:t>- Như Điều 5;</w:t>
      </w:r>
    </w:p>
    <w:p>
      <w:r>
        <w:rPr>
          <w:b w:val="0"/>
          <w:i w:val="0"/>
        </w:rPr>
        <w:t>- Văn phòng Chính phủ;</w:t>
      </w:r>
    </w:p>
    <w:p>
      <w:r>
        <w:rPr>
          <w:b w:val="0"/>
          <w:i w:val="0"/>
        </w:rPr>
        <w:t>- Vụ Pháp chế, Bộ Giáo dục và Đào tạo;</w:t>
      </w:r>
    </w:p>
    <w:p>
      <w:r>
        <w:rPr>
          <w:b w:val="0"/>
          <w:i w:val="0"/>
        </w:rPr>
        <w:t>- Vụ Pháp chế, Bộ Lao động-Thương binh và Xã hội; ế</w:t>
      </w:r>
    </w:p>
    <w:p>
      <w:r>
        <w:rPr>
          <w:b w:val="0"/>
          <w:i w:val="0"/>
        </w:rPr>
        <w:t>- Vụ Pháp chế, Bộ Tài chính;</w:t>
      </w:r>
    </w:p>
    <w:p>
      <w:r>
        <w:rPr>
          <w:b w:val="0"/>
          <w:i w:val="0"/>
        </w:rPr>
        <w:t>- Cục Kiểm tra văn bản QPPL (Bộ Tư pháp);</w:t>
      </w:r>
    </w:p>
    <w:p>
      <w:r>
        <w:rPr>
          <w:b w:val="0"/>
          <w:i w:val="0"/>
        </w:rPr>
        <w:t>- Thường trực Tỉnh ủy;</w:t>
      </w:r>
    </w:p>
    <w:p>
      <w:r>
        <w:rPr>
          <w:b w:val="0"/>
          <w:i w:val="0"/>
        </w:rPr>
        <w:t>- Thường trực HĐND tỉnh;</w:t>
      </w:r>
    </w:p>
    <w:p>
      <w:r>
        <w:rPr>
          <w:b w:val="0"/>
          <w:i w:val="0"/>
        </w:rPr>
        <w:t>- Đoàn Đại biểu Quốc hội tỉnh;</w:t>
      </w:r>
    </w:p>
    <w:p>
      <w:r>
        <w:rPr>
          <w:b w:val="0"/>
          <w:i w:val="0"/>
        </w:rPr>
        <w:t>- Ủy ban Mặt trận Tổ quốc Việt Nam tỉnh;</w:t>
      </w:r>
    </w:p>
    <w:p>
      <w:r>
        <w:rPr>
          <w:b w:val="0"/>
          <w:i w:val="0"/>
        </w:rPr>
        <w:t>- Ban Tuyên giáo Tỉnh ủy</w:t>
      </w:r>
    </w:p>
    <w:p>
      <w:r>
        <w:rPr>
          <w:b w:val="0"/>
          <w:i w:val="0"/>
        </w:rPr>
        <w:t>- CT và PCT UBND tỉnh;</w:t>
      </w:r>
    </w:p>
    <w:p>
      <w:r>
        <w:rPr>
          <w:b w:val="0"/>
          <w:i w:val="0"/>
        </w:rPr>
        <w:t>- TT.HĐND các huyện, thành phố;</w:t>
      </w:r>
    </w:p>
    <w:p>
      <w:r>
        <w:rPr>
          <w:b w:val="0"/>
          <w:i w:val="0"/>
        </w:rPr>
        <w:t>- Trung tâm Công nghệ thông tin và truyền thông;</w:t>
      </w:r>
    </w:p>
    <w:p>
      <w:r>
        <w:rPr>
          <w:b w:val="0"/>
          <w:i w:val="0"/>
        </w:rPr>
        <w:t>- Cổng thông tin điện tử tỉnh</w:t>
      </w:r>
    </w:p>
    <w:p>
      <w:r>
        <w:rPr>
          <w:b w:val="0"/>
          <w:i w:val="0"/>
        </w:rPr>
        <w:t>- VPUB: LĐ, KTTH;</w:t>
      </w:r>
    </w:p>
    <w:p>
      <w:r>
        <w:rPr>
          <w:b w:val="0"/>
          <w:i w:val="0"/>
        </w:rPr>
        <w:t>- Lưu: VT, VXNV. NAM.</w:t>
      </w:r>
    </w:p>
    <w:p>
      <w:pPr>
        <w:jc w:val="center"/>
      </w:pPr>
      <w:r>
        <w:rPr>
          <w:b/>
          <w:i w:val="0"/>
        </w:rPr>
        <w:t>Phụ lục I</w:t>
      </w:r>
      <w:r>
        <w:br/>
      </w:r>
      <w:r>
        <w:rPr>
          <w:b/>
          <w:i w:val="0"/>
        </w:rPr>
        <w:t>THU HỌC PHÍ NĂM HỌC 2022-2023 ĐỐI VỚI CƠ SỞ GIÁO DỤC</w:t>
      </w:r>
      <w:r>
        <w:br/>
      </w:r>
      <w:r>
        <w:rPr>
          <w:b/>
          <w:i w:val="0"/>
        </w:rPr>
        <w:t>ẦM NON, GIÁO DỤC PHỔ THÔNG CÔNG LẬP TRÊN ĐỊA BÀN</w:t>
      </w:r>
      <w:r>
        <w:br/>
      </w:r>
      <w:r>
        <w:rPr>
          <w:b/>
          <w:i w:val="0"/>
        </w:rPr>
        <w:t>TỈNH NINH THUẬN</w:t>
      </w:r>
    </w:p>
    <w:p>
      <w:pPr>
        <w:jc w:val="center"/>
      </w:pPr>
      <w:r>
        <w:rPr>
          <w:b w:val="0"/>
          <w:i/>
        </w:rPr>
        <w:t xml:space="preserve">(Ban hành kèm theo Quyết định số 24/2022/QĐ-UBND ngày tháng năm 2022 của Ủy ban nhân dân tỉnh Ninh Thuận) </w:t>
      </w:r>
    </w:p>
    <w:p>
      <w:r>
        <w:rPr>
          <w:b w:val="0"/>
          <w:i w:val="0"/>
        </w:rPr>
        <w:t>1. Học phí đối với cơ sở giáo dục mầm non, giáo dục phổ thông công lập chưa tự bảo đảm chi thường xuyên.</w:t>
      </w:r>
    </w:p>
    <w:p>
      <w:pPr>
        <w:jc w:val="right"/>
      </w:pPr>
      <w:r>
        <w:rPr>
          <w:b w:val="0"/>
          <w:i w:val="0"/>
        </w:rPr>
        <w:t>Đơn vị tính: Ngàn đồng/hs/tháng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 xml:space="preserve">Cấp học </w:t>
            </w:r>
          </w:p>
        </w:tc>
        <w:tc>
          <w:tcPr>
            <w:tcW w:type="dxa" w:w="1728"/>
          </w:tcPr>
          <w:p>
            <w:r>
              <w:rPr>
                <w:b/>
                <w:i w:val="0"/>
              </w:rPr>
              <w:t xml:space="preserve">Vùng 1 </w:t>
            </w:r>
            <w:r>
              <w:br/>
            </w:r>
            <w:r>
              <w:rPr>
                <w:b w:val="0"/>
                <w:i w:val="0"/>
              </w:rPr>
              <w:br/>
              <w:t xml:space="preserve">       (Thành thị) </w:t>
            </w:r>
          </w:p>
        </w:tc>
        <w:tc>
          <w:tcPr>
            <w:tcW w:type="dxa" w:w="1728"/>
          </w:tcPr>
          <w:p>
            <w:r>
              <w:rPr>
                <w:b/>
                <w:i w:val="0"/>
              </w:rPr>
              <w:t>Vùng 2</w:t>
            </w:r>
            <w:r>
              <w:rPr>
                <w:b w:val="0"/>
                <w:i w:val="0"/>
              </w:rPr>
              <w:t xml:space="preserve"> </w:t>
            </w:r>
            <w:r>
              <w:br/>
            </w:r>
            <w:r>
              <w:rPr>
                <w:b w:val="0"/>
                <w:i w:val="0"/>
              </w:rPr>
              <w:br/>
              <w:t xml:space="preserve">       (Nông </w:t>
            </w:r>
            <w:r>
              <w:br/>
            </w:r>
            <w:r>
              <w:rPr>
                <w:b w:val="0"/>
                <w:i w:val="0"/>
              </w:rPr>
              <w:br/>
              <w:t xml:space="preserve">       thôn) </w:t>
            </w:r>
          </w:p>
        </w:tc>
        <w:tc>
          <w:tcPr>
            <w:tcW w:type="dxa" w:w="1728"/>
          </w:tcPr>
          <w:p>
            <w:r>
              <w:rPr>
                <w:b/>
                <w:i w:val="0"/>
              </w:rPr>
              <w:t>Vùng 3</w:t>
            </w:r>
            <w:r>
              <w:rPr>
                <w:b w:val="0"/>
                <w:i w:val="0"/>
              </w:rPr>
              <w:t xml:space="preserve">  </w:t>
            </w:r>
            <w:r>
              <w:br/>
            </w:r>
            <w:r>
              <w:rPr>
                <w:b w:val="0"/>
                <w:i w:val="0"/>
              </w:rPr>
              <w:br/>
              <w:t xml:space="preserve">       (Đặc biệt khó </w:t>
            </w:r>
            <w:r>
              <w:br/>
            </w:r>
            <w:r>
              <w:rPr>
                <w:b w:val="0"/>
                <w:i w:val="0"/>
              </w:rPr>
              <w:br/>
              <w:t xml:space="preserve">       khăn vùng </w:t>
            </w:r>
            <w:r>
              <w:br/>
            </w:r>
            <w:r>
              <w:rPr>
                <w:b w:val="0"/>
                <w:i w:val="0"/>
              </w:rPr>
              <w:br/>
              <w:t xml:space="preserve">       dân tộc thiểu </w:t>
            </w:r>
            <w:r>
              <w:br/>
            </w:r>
            <w:r>
              <w:rPr>
                <w:b w:val="0"/>
                <w:i w:val="0"/>
              </w:rPr>
              <w:br/>
              <w:t xml:space="preserve">       số và miền </w:t>
            </w:r>
            <w:r>
              <w:br/>
            </w:r>
            <w:r>
              <w:rPr>
                <w:b w:val="0"/>
                <w:i w:val="0"/>
              </w:rPr>
              <w:br/>
              <w:t xml:space="preserve">       núi; Đặc biệt </w:t>
            </w:r>
            <w:r>
              <w:br/>
            </w:r>
            <w:r>
              <w:rPr>
                <w:b w:val="0"/>
                <w:i w:val="0"/>
              </w:rPr>
              <w:br/>
              <w:t xml:space="preserve">       khó khăn </w:t>
            </w:r>
            <w:r>
              <w:br/>
            </w:r>
            <w:r>
              <w:rPr>
                <w:b w:val="0"/>
                <w:i w:val="0"/>
              </w:rPr>
              <w:br/>
              <w:t xml:space="preserve">       vùng bãi </w:t>
            </w:r>
            <w:r>
              <w:br/>
            </w:r>
            <w:r>
              <w:rPr>
                <w:b w:val="0"/>
                <w:i w:val="0"/>
              </w:rPr>
              <w:br/>
              <w:t xml:space="preserve">       ngang ven </w:t>
            </w:r>
            <w:r>
              <w:br/>
            </w:r>
            <w:r>
              <w:rPr>
                <w:b w:val="0"/>
                <w:i w:val="0"/>
              </w:rPr>
              <w:br/>
              <w:t xml:space="preserve">       biển ) </w:t>
            </w:r>
          </w:p>
        </w:tc>
        <w:tc>
          <w:tcPr>
            <w:tcW w:type="dxa" w:w="1728"/>
          </w:tcPr>
          <w:p>
            <w:r>
              <w:rPr>
                <w:b/>
                <w:i w:val="0"/>
              </w:rPr>
              <w:t>Ghi chú</w:t>
            </w:r>
          </w:p>
        </w:tc>
      </w:tr>
    </w:tbl>
    <w:p>
      <w:r>
        <w:rPr>
          <w:b w:val="0"/>
          <w:i w:val="0"/>
        </w:rPr>
        <w:t>- Mức thu học phí trong trường hợp áp dụng hình thức học trực tuyến (online): Mức thu học phí theo hình thức học trực tuyến (online) bằng 75% so với mức thu tương ứng trên đây. Mức thu học phí được làm tròn đến đơn vị nghìn đồng.</w:t>
      </w:r>
    </w:p>
    <w:p>
      <w:r>
        <w:rPr>
          <w:b w:val="0"/>
          <w:i w:val="0"/>
        </w:rPr>
        <w:t>- Mức học phí đối với giáo dục tiểu học công lập quy định tại Phụ lục này dùng để làm căn cứ để tính mức hỗ trợ tiền đóng học phí cho học sinh tiểu học tư thục ở các địa bàn chưa đủ trường tiểu học công lập và các đối tượng học sinh tiểu học tư thục thuộc đối tượng được hưởng chính sách miễn giảm học phí theo quy định.</w:t>
      </w:r>
    </w:p>
    <w:p>
      <w:r>
        <w:rPr>
          <w:b w:val="0"/>
          <w:i w:val="0"/>
        </w:rPr>
        <w:t>2. Mức học phí đối với cơ sở giáo dục mầm non, giáo dục phổ thông công lập tự bảo đảm chi thường xuyên: Bằng 1,5 lần mức học phí đối với cơ sở giáo dục mầm non, giáo dục phổ thông công lập chưa tự bảo đảm chi thường xuyên.</w:t>
      </w:r>
    </w:p>
    <w:p>
      <w:r>
        <w:rPr>
          <w:b w:val="0"/>
          <w:i w:val="0"/>
        </w:rPr>
        <w:t>3. Mức học phí đối với cơ sở giáo dục mầm non, giáo dục phổ thông công lập tự bảo đảm chi thường xuyên và chi đầu tư: Bằng 2,0 lần mức học phí đối với cơ sở giáo dục mầm non, giáo dục phổ thông công lập chưa tự bảo đảm chi thường xuyên.</w:t>
      </w:r>
    </w:p>
    <w:p>
      <w:r>
        <w:rPr>
          <w:b w:val="0"/>
          <w:i w:val="0"/>
        </w:rPr>
        <w:t>4. Cơ sở giáo dục mầm non, giáo dục phổ thông công lập tự bảo đảm chi thường xuyên hoặc tự bảo đảm chi thường xuyên và chi đầu tư đạt mức kiểm định chất lượng cơ sở giáo dục theo tiêu chuẩn do Bộ Giáo dục và Đào tạo quy định thì được tự xác định mức thu học phí trên cơ sở định mức kinh tế - kỹ thuật, định mức chi phí do cơ sở giáo dục ban hành; trình Ủy ban nhân dân tỉnh để đề nghị Hội đồng nhân dân tỉnh xem xét phê duyệt mức thu học phí./.</w:t>
      </w:r>
    </w:p>
    <w:p>
      <w:pPr>
        <w:jc w:val="center"/>
      </w:pPr>
      <w:r>
        <w:rPr>
          <w:b/>
          <w:i w:val="0"/>
        </w:rPr>
        <w:t>Phụ lục II</w:t>
      </w:r>
      <w:r>
        <w:br/>
      </w:r>
      <w:r>
        <w:rPr>
          <w:b/>
          <w:i w:val="0"/>
        </w:rPr>
        <w:t>VÙNG THU HỌC PHÍ CÁC CẤP HỌC TRÊN ĐỊA BÀN TỈNH NINH THUẬN</w:t>
      </w:r>
    </w:p>
    <w:p>
      <w:pPr>
        <w:jc w:val="center"/>
      </w:pPr>
      <w:r>
        <w:rPr>
          <w:b w:val="0"/>
          <w:i/>
        </w:rPr>
        <w:t xml:space="preserve">(Ban hành kèm theo Quyết định số 24/2022/QĐ-UBND ngày tháng năm 2022 của Ủy ban nhân dân tỉnh Ninh Thuận)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phường</w:t>
            </w:r>
          </w:p>
        </w:tc>
        <w:tc>
          <w:tcPr>
            <w:tcW w:type="dxa" w:w="2880"/>
          </w:tcPr>
          <w:p>
            <w:r>
              <w:rPr>
                <w:b w:val="0"/>
                <w:i w:val="0"/>
              </w:rPr>
              <w:br/>
            </w:r>
            <w:r>
              <w:rPr>
                <w:b/>
                <w:i w:val="0"/>
              </w:rPr>
              <w:t>Các thị trấn, xã, phường, thôn, khu phố trên địa bàn tỉnh Ninh Thuận</w:t>
            </w:r>
          </w:p>
        </w:tc>
      </w:tr>
    </w:tbl>
    <w:p>
      <w:pPr>
        <w:jc w:val="center"/>
      </w:pPr>
      <w:r>
        <w:rPr>
          <w:b w:val="0"/>
          <w:i w:val="0"/>
        </w:rPr>
        <w:t>- Các xã đặc biệt khó khăn vùng bãi ngang ven biển và hải đảo khi được cấp có thẩm quyền công nhận lên phường, thị trấn hoặc đạt chuẩn nông thôn mới, thì thôi hưởng chính sách áp dụng đối với xã đặc biệt khó khăn vùng bãi ngang ven biển và hải đảo kể từ ngày Quyết định của cấp thẩm quyền công nhận có hiệu lực (sẽ chuyển về áp dụng thành vùng 1 hoặc vùng 2 tương ứng tại các địa bàn).</w:t>
      </w:r>
    </w:p>
    <w:p>
      <w:pPr>
        <w:jc w:val="center"/>
      </w:pPr>
      <w:r>
        <w:rPr>
          <w:b w:val="0"/>
          <w:i w:val="0"/>
        </w:rPr>
        <w:t>- Các xã khu vực III nếu được công nhận đạt chuẩn nông thôn mới sẽ thôi hưởng các chính sách áp dụng đối với xã khu vực III kể từ ngày Quyết định của cấp có thẩm quyền công nhận xã đạt chuẩn nông thôn mới có hiệu lực (sẽ chuyển về áp dụng thành vùng 1 hoặc vùng 2 tương ứng tại các địa bàn).</w:t>
      </w:r>
    </w:p>
    <w:p>
      <w:pPr>
        <w:jc w:val="center"/>
      </w:pPr>
      <w:r>
        <w:rPr>
          <w:b w:val="0"/>
          <w:i w:val="0"/>
        </w:rPr>
        <w:t>- Trong trường hợp có văn bản mới thay thế văn bản này hoặc các cơ quan có thẩm quyền của Nhà nước có văn bản thay đổi hoặc điều chỉnh thôn đặc biệt khó khăn, khu vực III thuộc vùng dân tộc thiểu số và miền núi; các xã đặc biệt khó khăn vùng bãi ngang ven biển hoặc một số địa bàn chuyển thành khu vực đô thị thì các cơ quan, địa phương, đơn vị chủ động điều chỉnh vùng 3 thành vùng 1, vùng 2 tương ứng hoặc vùng 1, vùng 2 sang vùng 2, vùng 3 tương ứng để thực hiện theo văn bản mới đó./.</w:t>
      </w:r>
    </w:p>
    <w:p>
      <w:pPr>
        <w:jc w:val="center"/>
      </w:pPr>
      <w:r>
        <w:rPr>
          <w:b w:val="0"/>
          <w:i w:val="0"/>
        </w:rPr>
        <w:t>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