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2529/QĐ-BTC Về việc đính chính Quyết định số 35/2007/QĐ-BTC ngày 15/5/2007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w:t>
            </w:r>
            <w:r>
              <w:rPr>
                <w:b w:val="0"/>
                <w:i w:val="0"/>
              </w:rPr>
              <w:br/>
            </w:r>
            <w:r>
              <w:rPr>
                <w:b w:val="0"/>
                <w:i w:val="0"/>
              </w:rPr>
              <w:br/>
            </w:r>
            <w:r>
              <w:rPr>
                <w:b w:val="0"/>
                <w:i w:val="0"/>
              </w:rPr>
              <w:t>Số:</w:t>
            </w:r>
            <w:r>
              <w:rPr>
                <w:b/>
                <w:i w:val="0"/>
              </w:rPr>
              <w:t xml:space="preserve"> 2529</w:t>
            </w:r>
            <w:r>
              <w:rPr>
                <w:b w:val="0"/>
                <w:i w:val="0"/>
              </w:rPr>
              <w:t>/QĐ- BTC</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__________________________</w:t>
            </w:r>
            <w:r>
              <w:rPr>
                <w:b w:val="0"/>
                <w:i w:val="0"/>
              </w:rPr>
              <w:br/>
            </w:r>
            <w:r>
              <w:rPr>
                <w:b w:val="0"/>
                <w:i/>
              </w:rPr>
              <w:t xml:space="preserve"> Hà Nội, ngày 27 tháng 7 năm 2007. </w:t>
            </w:r>
          </w:p>
        </w:tc>
      </w:tr>
    </w:tbl>
    <w:p>
      <w:pPr>
        <w:jc w:val="center"/>
      </w:pPr>
      <w:r>
        <w:rPr>
          <w:b/>
          <w:i w:val="0"/>
        </w:rPr>
        <w:t>QUYẾT ĐỊNH</w:t>
      </w:r>
    </w:p>
    <w:p>
      <w:pPr>
        <w:jc w:val="center"/>
      </w:pPr>
      <w:r>
        <w:rPr>
          <w:b/>
          <w:i w:val="0"/>
        </w:rPr>
        <w:t xml:space="preserve">Về việc đính chính Quyết định số 35/2007/QĐ-BTC </w:t>
      </w:r>
    </w:p>
    <w:p>
      <w:pPr>
        <w:jc w:val="center"/>
      </w:pPr>
      <w:r>
        <w:rPr>
          <w:b/>
          <w:i w:val="0"/>
        </w:rPr>
        <w:t>ngày 15/5/2007 của Bộ trưởng Bộ Tài chính</w:t>
      </w:r>
    </w:p>
    <w:p>
      <w:pPr>
        <w:jc w:val="center"/>
      </w:pPr>
      <w:r>
        <w:rPr>
          <w:b/>
          <w:i w:val="0"/>
        </w:rPr>
        <w:t>-----------------------</w:t>
      </w:r>
    </w:p>
    <w:p>
      <w:pPr>
        <w:jc w:val="center"/>
      </w:pPr>
      <w:r>
        <w:rPr>
          <w:b/>
          <w:i w:val="0"/>
        </w:rPr>
        <w:t>BỘ TRƯỞNG BỘ TÀI CHÍNH</w:t>
      </w:r>
    </w:p>
    <w:p>
      <w:pPr>
        <w:jc w:val="both"/>
      </w:pPr>
      <w:r>
        <w:rPr>
          <w:b w:val="0"/>
          <w:i w:val="0"/>
        </w:rPr>
        <w:t>Căn cứ Luật ban hành văn bản quy phạm pháp luật ngày 12/11/1996, Luật sửa đổi, bổ sung một số điều của Luật ban hành văn bản quy phạm pháp luật ngày 16/12/2002;</w:t>
      </w:r>
    </w:p>
    <w:p>
      <w:pPr>
        <w:jc w:val="both"/>
      </w:pPr>
      <w:r>
        <w:rPr>
          <w:b w:val="0"/>
          <w:i w:val="0"/>
        </w:rPr>
        <w:t>Căn cứ Nghị định số 104/2004/NĐ-CP ngày 23/3/2004 của Chính phủ về Công báo nước Cộng hòa xã hội chủ nghĩa Việt Nam;</w:t>
      </w:r>
    </w:p>
    <w:p>
      <w:pPr>
        <w:jc w:val="both"/>
      </w:pPr>
      <w:r>
        <w:rPr>
          <w:b w:val="0"/>
          <w:i w:val="0"/>
        </w:rPr>
        <w:t>Căn cứ Nghị định số 77/2003/NĐ-CP ngày 01/7/2003 của Chính phủ Quy định chức năng, nhiệm vụ, quyền hạn và cơ cấu tổ chức của Bộ Tài chính;</w:t>
      </w:r>
    </w:p>
    <w:p>
      <w:pPr>
        <w:jc w:val="both"/>
      </w:pPr>
      <w:r>
        <w:rPr>
          <w:b w:val="0"/>
          <w:i w:val="0"/>
        </w:rPr>
        <w:t>Theo đề nghị của Chủ tịch Uỷ ban Chứng khoán Nhà nước,</w:t>
      </w:r>
    </w:p>
    <w:p>
      <w:pPr>
        <w:jc w:val="center"/>
      </w:pPr>
      <w:r>
        <w:rPr>
          <w:b/>
          <w:i w:val="0"/>
        </w:rPr>
        <w:t>QUYẾT ĐỊNH:</w:t>
      </w:r>
    </w:p>
    <w:p>
      <w:pPr>
        <w:jc w:val="both"/>
      </w:pPr>
      <w:r>
        <w:rPr>
          <w:b/>
          <w:i w:val="0"/>
        </w:rPr>
        <w:t>Điều 1.</w:t>
      </w:r>
      <w:r>
        <w:rPr>
          <w:b w:val="0"/>
          <w:i w:val="0"/>
        </w:rPr>
        <w:t xml:space="preserve"> Đính chính sai sót về số thứ tự trình bày Quy chế tổ chức và hoạt động của công ty quản lý quỹ ban hành kèm theo Quyết định số 35/2007/QĐ-BTC ngày 15/5/2007 của Bộ trưởng Bộ Tài chính, bao gồm:</w:t>
      </w:r>
    </w:p>
    <w:p>
      <w:r>
        <w:rPr>
          <w:b w:val="0"/>
          <w:i w:val="0"/>
        </w:rPr>
        <w:t>- Điều 5, khoản 1 Quy chế tổ chức và hoạt động của công ty quản lý quỹ;</w:t>
      </w:r>
    </w:p>
    <w:p>
      <w:r>
        <w:rPr>
          <w:b w:val="0"/>
          <w:i w:val="0"/>
        </w:rPr>
        <w:t>- Điều 14 Quy chế tổ chức và hoạt động của công ty quản lý quỹ;</w:t>
      </w:r>
    </w:p>
    <w:p>
      <w:r>
        <w:rPr>
          <w:b w:val="0"/>
          <w:i w:val="0"/>
        </w:rPr>
        <w:t>- Điều 33, khoản 2 Quy chế tổ chức và hoạt động của công ty quản lý quỹ;</w:t>
      </w:r>
    </w:p>
    <w:p>
      <w:r>
        <w:rPr>
          <w:b w:val="0"/>
          <w:i w:val="0"/>
        </w:rPr>
        <w:t>- Phụ lục 9 ban hành kèm theo Quy chế tổ chức và hoạt động của công ty quản lý quỹ;</w:t>
      </w:r>
    </w:p>
    <w:p>
      <w:r>
        <w:rPr>
          <w:b w:val="0"/>
          <w:i w:val="0"/>
        </w:rPr>
        <w:t>- Phụ lục 10 ban hành kèm theo Quy chế tổ chức và hoạt động của công ty quản lý quỹ;</w:t>
      </w:r>
    </w:p>
    <w:p>
      <w:r>
        <w:rPr>
          <w:b w:val="0"/>
          <w:i w:val="0"/>
        </w:rPr>
        <w:t>- Phụ lục 14 ban hành kèm theo Quy chế tổ chức và hoạt động của công ty quản lý quỹ;</w:t>
      </w:r>
    </w:p>
    <w:p>
      <w:r>
        <w:rPr>
          <w:b w:val="0"/>
          <w:i w:val="0"/>
        </w:rPr>
        <w:t>- Phụ lục 20 ban hành kèm theo Quy chế tổ chức và hoạt động của công ty quản lý quỹ.</w:t>
      </w:r>
    </w:p>
    <w:p>
      <w:pPr>
        <w:jc w:val="both"/>
      </w:pPr>
      <w:r>
        <w:rPr>
          <w:b w:val="0"/>
          <w:i/>
        </w:rPr>
        <w:t>(Chi tiết cụ thể theo phụ lục đính kèm)</w:t>
      </w:r>
      <w:r>
        <w:rPr>
          <w:b w:val="0"/>
          <w:i w:val="0"/>
        </w:rPr>
        <w:t>.</w:t>
      </w:r>
    </w:p>
    <w:p>
      <w:pPr>
        <w:jc w:val="both"/>
      </w:pPr>
      <w:r>
        <w:rPr>
          <w:b/>
          <w:i w:val="0"/>
        </w:rPr>
        <w:t>Điều 2</w:t>
      </w:r>
      <w:r>
        <w:rPr>
          <w:b w:val="0"/>
          <w:i w:val="0"/>
        </w:rPr>
        <w:t>. Quyết định này có hiệu lực kể từ ngày ký.</w:t>
      </w:r>
    </w:p>
    <w:p>
      <w:pPr>
        <w:jc w:val="both"/>
      </w:pPr>
      <w:r>
        <w:rPr>
          <w:b w:val="0"/>
          <w:i w:val="0"/>
        </w:rPr>
        <w:t>Chủ tịch Uỷ ban Chứng khoán Nhà nước, Chánh Văn phòng Bộ, Thủ trưởng các đơn vị thuộc Bộ Tài chính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Các Bộ, cơ quan ngang Bộ, cơ quan thuộc Chính phủ;</w:t>
            </w:r>
            <w:r>
              <w:rPr>
                <w:b w:val="0"/>
                <w:i w:val="0"/>
              </w:rPr>
              <w:br/>
            </w:r>
            <w:r>
              <w:rPr>
                <w:b w:val="0"/>
                <w:i w:val="0"/>
              </w:rPr>
              <w:t>- UBND, HĐND các tỉnh, thành phố trực thuộc TƯ;</w:t>
            </w:r>
            <w:r>
              <w:rPr>
                <w:b w:val="0"/>
                <w:i w:val="0"/>
              </w:rPr>
              <w:br/>
            </w:r>
            <w:r>
              <w:rPr>
                <w:b w:val="0"/>
                <w:i w:val="0"/>
              </w:rPr>
              <w:t>- Văn phòng TƯ và các ban của Đảng;</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Cục Kiểm tra văn bản - Bộ Tư pháp;</w:t>
            </w:r>
            <w:r>
              <w:rPr>
                <w:b w:val="0"/>
                <w:i w:val="0"/>
              </w:rPr>
              <w:br/>
            </w:r>
            <w:r>
              <w:rPr>
                <w:b w:val="0"/>
                <w:i w:val="0"/>
              </w:rPr>
              <w:t>- Các Trung tâm giao dịch chứng khoán;</w:t>
            </w:r>
            <w:r>
              <w:rPr>
                <w:b w:val="0"/>
                <w:i w:val="0"/>
              </w:rPr>
              <w:br/>
            </w:r>
            <w:r>
              <w:rPr>
                <w:b w:val="0"/>
                <w:i w:val="0"/>
              </w:rPr>
              <w:t>- Công báo; Website Chính phủ;</w:t>
            </w:r>
            <w:r>
              <w:rPr>
                <w:b w:val="0"/>
                <w:i w:val="0"/>
              </w:rPr>
              <w:br/>
            </w:r>
            <w:r>
              <w:rPr>
                <w:b w:val="0"/>
                <w:i w:val="0"/>
              </w:rPr>
              <w:t>- Các đơn vị thuộc Bộ Tài chính;</w:t>
            </w:r>
            <w:r>
              <w:rPr>
                <w:b w:val="0"/>
                <w:i w:val="0"/>
              </w:rPr>
              <w:br/>
            </w:r>
            <w:r>
              <w:rPr>
                <w:b w:val="0"/>
                <w:i w:val="0"/>
              </w:rPr>
              <w:t>- Website Bộ Tài chính;</w:t>
            </w:r>
            <w:r>
              <w:rPr>
                <w:b w:val="0"/>
                <w:i w:val="0"/>
              </w:rPr>
              <w:br/>
            </w:r>
            <w:r>
              <w:rPr>
                <w:b w:val="0"/>
                <w:i w:val="0"/>
              </w:rPr>
              <w:t>- Lưu: VT, UBCKNN.</w:t>
            </w:r>
          </w:p>
        </w:tc>
        <w:tc>
          <w:tcPr>
            <w:tcW w:type="dxa" w:w="4320"/>
          </w:tcPr>
          <w:p>
            <w:r>
              <w:rPr>
                <w:b w:val="0"/>
                <w:i w:val="0"/>
              </w:rPr>
              <w:br/>
            </w:r>
            <w:r>
              <w:rPr>
                <w:b/>
                <w:i w:val="0"/>
              </w:rPr>
              <w:t xml:space="preserve">TUQ. BỘ TRƯỞNG </w:t>
            </w:r>
            <w:r>
              <w:rPr>
                <w:b w:val="0"/>
                <w:i w:val="0"/>
              </w:rPr>
              <w:br/>
            </w:r>
            <w:r>
              <w:rPr>
                <w:b/>
                <w:i w:val="0"/>
              </w:rPr>
              <w:t>CHÁNH VĂN PHÒNG</w:t>
            </w:r>
            <w:r>
              <w:rPr>
                <w:b w:val="0"/>
                <w:i w:val="0"/>
              </w:rPr>
              <w:br/>
            </w:r>
            <w:r>
              <w:rPr>
                <w:b/>
                <w:i/>
              </w:rPr>
              <w:t>(Đã ký)</w:t>
            </w:r>
            <w:r>
              <w:rPr>
                <w:b w:val="0"/>
                <w:i w:val="0"/>
              </w:rPr>
              <w:br/>
            </w:r>
            <w:r>
              <w:rPr>
                <w:b w:val="0"/>
                <w:i w:val="0"/>
              </w:rPr>
              <w:br/>
            </w:r>
            <w:r>
              <w:rPr>
                <w:b/>
                <w:i w:val="0"/>
              </w:rPr>
              <w:t xml:space="preserve"> Đinh Văn Nhã</w:t>
            </w:r>
          </w:p>
        </w:tc>
      </w:tr>
    </w:tbl>
    <w:p>
      <w:r>
        <w:rPr>
          <w:b w:val="0"/>
          <w:i w:val="0"/>
        </w:rPr>
        <w:t>Phụ lục</w:t>
      </w:r>
    </w:p>
    <w:p>
      <w:r>
        <w:rPr>
          <w:b w:val="0"/>
          <w:i w:val="0"/>
        </w:rPr>
        <w:t>Đính chính sai sót trong Quyết định số 35/2007/QĐ-BTC ngày 15/5/2007 của Bộ trưởng Bộ Tài chính</w:t>
      </w:r>
    </w:p>
    <w:p>
      <w:r>
        <w:rPr>
          <w:b w:val="0"/>
          <w:i w:val="0"/>
        </w:rPr>
        <w:t>(Kèm theo Quyết định số 2529/QĐ-BTC ngày 27/7/2007 của Bộ trưởng Bộ Tài chính)</w:t>
      </w:r>
    </w:p>
    <w:p>
      <w:r>
        <w:rPr>
          <w:b w:val="0"/>
          <w:i w:val="0"/>
        </w:rPr>
        <w:t>I. Đính chính về số thứ thự</w:t>
      </w:r>
    </w:p>
    <w:p>
      <w:r>
        <w:rPr>
          <w:b w:val="0"/>
          <w:i w:val="0"/>
        </w:rPr>
        <w:t>1. Đính chính chung</w:t>
      </w:r>
    </w:p>
    <w:p>
      <w:r>
        <w:rPr>
          <w:b w:val="0"/>
          <w:i w:val="0"/>
        </w:rPr>
        <w:t>Số thứ tự các điểm a, b, c, d, e, f, g, h, i, j, k... tại các điều của Quy chế tổ chức và hoạt động của công ty quản lý quỹ và Phụ lục số 20 Mẫu Điều lệ công ty quản lý quỹ được đính chính thành a, b, c, d, đ, e, g, h, i, k...</w:t>
      </w:r>
    </w:p>
    <w:p>
      <w:r>
        <w:rPr>
          <w:b w:val="0"/>
          <w:i w:val="0"/>
        </w:rPr>
        <w:t>2. Đính chính cụ thể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r>
              <w:rPr>
                <w:b w:val="0"/>
                <w:i w:val="0"/>
              </w:rPr>
              <w:br/>
            </w:r>
            <w:r>
              <w:rPr>
                <w:b/>
                <w:i w:val="0"/>
              </w:rPr>
              <w:t>STT</w:t>
            </w:r>
          </w:p>
        </w:tc>
        <w:tc>
          <w:tcPr>
            <w:tcW w:type="dxa" w:w="1728"/>
          </w:tcPr>
          <w:p>
            <w:r>
              <w:rPr>
                <w:b w:val="0"/>
                <w:i w:val="0"/>
              </w:rPr>
              <w:br/>
            </w:r>
            <w:r>
              <w:rPr>
                <w:b/>
                <w:i w:val="0"/>
              </w:rPr>
              <w:t xml:space="preserve"> </w:t>
            </w:r>
            <w:r>
              <w:rPr>
                <w:b w:val="0"/>
                <w:i w:val="0"/>
              </w:rPr>
              <w:br/>
            </w:r>
            <w:r>
              <w:rPr>
                <w:b/>
                <w:i w:val="0"/>
              </w:rPr>
              <w:t xml:space="preserve">Phần cần </w:t>
            </w:r>
            <w:r>
              <w:br/>
            </w:r>
            <w:r>
              <w:rPr>
                <w:b/>
                <w:i w:val="0"/>
              </w:rPr>
              <w:br/>
              <w:t xml:space="preserve">         chỉnh sửa</w:t>
            </w:r>
          </w:p>
        </w:tc>
        <w:tc>
          <w:tcPr>
            <w:tcW w:type="dxa" w:w="1728"/>
          </w:tcPr>
          <w:p>
            <w:r>
              <w:rPr>
                <w:b w:val="0"/>
                <w:i w:val="0"/>
              </w:rPr>
              <w:br/>
            </w:r>
            <w:r>
              <w:rPr>
                <w:b/>
                <w:i w:val="0"/>
              </w:rPr>
              <w:t>Nội dung</w:t>
            </w:r>
          </w:p>
        </w:tc>
        <w:tc>
          <w:tcPr>
            <w:tcW w:type="dxa" w:w="1728"/>
          </w:tcPr>
          <w:p>
            <w:r>
              <w:rPr>
                <w:b w:val="0"/>
                <w:i w:val="0"/>
              </w:rPr>
              <w:br/>
            </w:r>
            <w:r>
              <w:rPr>
                <w:b/>
                <w:i w:val="0"/>
              </w:rPr>
              <w:t>Số thứ tự trong QĐ số 35/2007/QĐ-BTC</w:t>
            </w:r>
          </w:p>
        </w:tc>
        <w:tc>
          <w:tcPr>
            <w:tcW w:type="dxa" w:w="1728"/>
          </w:tcPr>
          <w:p>
            <w:r>
              <w:rPr>
                <w:b w:val="0"/>
                <w:i w:val="0"/>
              </w:rPr>
              <w:br/>
            </w:r>
            <w:r>
              <w:rPr>
                <w:b/>
                <w:i w:val="0"/>
              </w:rPr>
              <w:t>Số thứ tự đính chính</w:t>
            </w:r>
          </w:p>
        </w:tc>
      </w:tr>
    </w:tbl>
    <w:p>
      <w:r>
        <w:rPr>
          <w:b/>
          <w:i w:val="0"/>
        </w:rPr>
        <w:t>II. Đính chính dẫn chiếu điều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r>
              <w:rPr>
                <w:b w:val="0"/>
                <w:i w:val="0"/>
              </w:rPr>
              <w:br/>
            </w:r>
            <w:r>
              <w:rPr>
                <w:b/>
                <w:i w:val="0"/>
              </w:rPr>
              <w:t>Phần cần chỉnh sửa</w:t>
            </w:r>
          </w:p>
        </w:tc>
        <w:tc>
          <w:tcPr>
            <w:tcW w:type="dxa" w:w="2880"/>
          </w:tcPr>
          <w:p>
            <w:r>
              <w:rPr>
                <w:b w:val="0"/>
                <w:i w:val="0"/>
              </w:rPr>
              <w:br/>
            </w:r>
            <w:r>
              <w:rPr>
                <w:b/>
                <w:i w:val="0"/>
              </w:rPr>
              <w:t>Nội dung</w:t>
            </w:r>
            <w:r>
              <w:rPr>
                <w:b w:val="0"/>
                <w:i w:val="0"/>
              </w:rPr>
              <w:br/>
            </w:r>
            <w:r>
              <w:rPr>
                <w:b/>
                <w:i w:val="0"/>
              </w:rPr>
              <w:t xml:space="preserve"> </w:t>
            </w:r>
          </w:p>
        </w:tc>
        <w:tc>
          <w:tcPr>
            <w:tcW w:type="dxa" w:w="2880"/>
          </w:tcPr>
          <w:p>
            <w:r>
              <w:rPr>
                <w:b w:val="0"/>
                <w:i w:val="0"/>
              </w:rPr>
              <w:br/>
            </w:r>
            <w:r>
              <w:rPr>
                <w:b/>
                <w:i w:val="0"/>
              </w:rPr>
              <w:t>Đính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