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254-HĐBT Về việc chuyển giao nhiệm vụ thu mua, chế biến và bán buôn hàng hải sản từ Bộ Nội thương sang Bộ Thuỷ sản</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254-HĐBT</w:t>
      </w:r>
      <w:r>
        <w:rPr>
          <w:b w:val="0"/>
          <w:i w:val="0"/>
        </w:rPr>
        <w:br/>
      </w:r>
      <w:r>
        <w:rPr>
          <w:b w:val="0"/>
          <w:i w:val="0"/>
        </w:rPr>
        <w:br/>
      </w:r>
      <w:r>
        <w:rPr>
          <w:b w:val="0"/>
          <w:i/>
        </w:rPr>
        <w:br/>
      </w:r>
      <w:r>
        <w:rPr>
          <w:b w:val="0"/>
          <w:i/>
        </w:rPr>
        <w:t>Hà Nội, ngày 22 tháng 10 năm 1985</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HỘI ĐỒNG BỘ TRƯỞNG</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t>Số: 254-HĐBT</w:t>
      </w:r>
      <w:r>
        <w:rPr>
          <w:b w:val="0"/>
          <w:i w:val="0"/>
        </w:rPr>
        <w:br/>
      </w:r>
      <w:r>
        <w:rPr>
          <w:b w:val="0"/>
          <w:i w:val="0"/>
        </w:rPr>
        <w:br/>
      </w:r>
      <w:r>
        <w:rPr>
          <w:b w:val="0"/>
          <w:i/>
        </w:rPr>
        <w:br/>
      </w:r>
      <w:r>
        <w:rPr>
          <w:b w:val="0"/>
          <w:i/>
        </w:rPr>
        <w:t>Hà Nội, ngày 22 tháng 10 năm 1985</w:t>
      </w:r>
      <w:r>
        <w:rPr>
          <w:b w:val="0"/>
          <w:i/>
        </w:rPr>
        <w:br/>
      </w:r>
      <w:r>
        <w:rPr>
          <w:b w:val="0"/>
          <w:i w:val="0"/>
        </w:rPr>
        <w:br/>
      </w:r>
    </w:p>
    <w:p>
      <w:pPr>
        <w:jc w:val="center"/>
      </w:pPr>
      <w:r>
        <w:rPr>
          <w:b w:val="0"/>
          <w:i w:val="0"/>
        </w:rPr>
        <w:br/>
      </w:r>
      <w:r>
        <w:rPr>
          <w:b w:val="0"/>
          <w:i w:val="0"/>
        </w:rPr>
        <w:t>Số: 254-HĐBT</w:t>
      </w:r>
      <w:r>
        <w:rPr>
          <w:b w:val="0"/>
          <w:i w:val="0"/>
        </w:rPr>
        <w:br/>
      </w:r>
    </w:p>
    <w:p>
      <w:pPr>
        <w:jc w:val="center"/>
      </w:pPr>
      <w:r>
        <w:rPr>
          <w:b w:val="0"/>
          <w:i w:val="0"/>
        </w:rPr>
        <w:br/>
      </w:r>
      <w:r>
        <w:rPr>
          <w:b w:val="0"/>
          <w:i w:val="0"/>
        </w:rPr>
        <w:t>Hà Nội, ngày 22 tháng 10 năm 1985</w:t>
      </w:r>
      <w:r>
        <w:rPr>
          <w:b w:val="0"/>
          <w:i w:val="0"/>
        </w:rPr>
        <w:br/>
      </w:r>
    </w:p>
    <w:p>
      <w:r>
        <w:rPr>
          <w:b/>
          <w:i w:val="0"/>
        </w:rPr>
        <w:t>QUYẾT ĐỊNH</w:t>
      </w:r>
    </w:p>
    <w:p>
      <w:r>
        <w:rPr>
          <w:b w:val="0"/>
          <w:i w:val="0"/>
        </w:rPr>
        <w:t>CỦA HỘI ĐỒNG BỘ TRƯỞNG SỐ 254-HĐBT NGÀY 22 THÁNG 10 NĂM 1985 VỀ VIỆC</w:t>
      </w:r>
    </w:p>
    <w:p>
      <w:r>
        <w:rPr>
          <w:b w:val="0"/>
          <w:i w:val="0"/>
        </w:rPr>
        <w:t xml:space="preserve"> CHUYỂN GIAO NHIỆM VỤ THU MUA, CHẾ BIẾN VÀ BÁN BUÔN HÀNG HẢI SẢN TỪ </w:t>
      </w:r>
    </w:p>
    <w:p>
      <w:r>
        <w:rPr>
          <w:b w:val="0"/>
          <w:i w:val="0"/>
        </w:rPr>
        <w:t>BỘ NỘI THƯƠNG SANG BỘ THUỶ SẢN</w:t>
      </w:r>
    </w:p>
    <w:p>
      <w:r>
        <w:rPr>
          <w:b/>
          <w:i w:val="0"/>
        </w:rPr>
        <w:t>HỘI ĐỒNG BỘ TRƯỞNG</w:t>
      </w:r>
    </w:p>
    <w:p>
      <w:r>
        <w:rPr>
          <w:b w:val="0"/>
          <w:i/>
        </w:rPr>
        <w:t>Căn cứ Luật Tổ chức Hội đồng Bộ trưởng ngày 4-7-1981;</w:t>
      </w:r>
    </w:p>
    <w:p>
      <w:r>
        <w:rPr>
          <w:b w:val="0"/>
          <w:i/>
        </w:rPr>
        <w:t>Để hợp lý hoá tổ chức kinh doanh hàng hải sản;</w:t>
      </w:r>
    </w:p>
    <w:p>
      <w:r>
        <w:rPr>
          <w:b w:val="0"/>
          <w:i/>
        </w:rPr>
        <w:t>Theo đề nghị của Bộ trưởng Bộ Thuỷ sản và Bộ trưởng Bộ Nội thương,</w:t>
      </w:r>
    </w:p>
    <w:p>
      <w:r>
        <w:rPr>
          <w:b/>
          <w:i w:val="0"/>
        </w:rPr>
        <w:t>QUYẾT ĐỊNH:</w:t>
      </w:r>
    </w:p>
    <w:p>
      <w:r>
        <w:rPr>
          <w:b/>
          <w:i w:val="0"/>
        </w:rPr>
        <w:t>Điều 1</w:t>
      </w:r>
    </w:p>
    <w:p>
      <w:r>
        <w:rPr>
          <w:b w:val="0"/>
          <w:i w:val="0"/>
        </w:rPr>
        <w:t>Nay chuyển giao nhiệm vụ thu mua, chế biến và bán buôn các mặt hàng hải sản (cá biển tươi, cá biển khô, nước mắm, mắm tôm, v.v...) từ Bộ Nội thương sang Bộ Thuỷ sản.</w:t>
      </w:r>
    </w:p>
    <w:p>
      <w:r>
        <w:rPr>
          <w:b w:val="0"/>
          <w:i w:val="0"/>
        </w:rPr>
        <w:t>Các công ty bán lẻ thuộc hệ thống nội thương tiếp tục làm nhiệm vụ bán lẻ các mặt hàng hải sản do ngành thuỷ sản giao (bán buôn) theo kế hoạch và theo hợp đồng.</w:t>
      </w:r>
    </w:p>
    <w:p>
      <w:r>
        <w:rPr>
          <w:b/>
          <w:i w:val="0"/>
        </w:rPr>
        <w:t>Điều 2</w:t>
      </w:r>
    </w:p>
    <w:p>
      <w:r>
        <w:rPr>
          <w:b w:val="0"/>
          <w:i w:val="0"/>
        </w:rPr>
        <w:t>Bộ Nội thương có trách nhiệm bàn giao nhiệm vụ, cán bộ, nhân viên, cơ sở vật chất kỹ thuật, phương tiện và vốn đang sử dụng vào việc thực hiện nhiệm vụ ghi ở Điều 1 cho Bộ Thuỷ sản.</w:t>
      </w:r>
    </w:p>
    <w:p>
      <w:r>
        <w:rPr>
          <w:b/>
          <w:i w:val="0"/>
        </w:rPr>
        <w:t>Điều 3</w:t>
      </w:r>
    </w:p>
    <w:p>
      <w:r>
        <w:rPr>
          <w:b w:val="0"/>
          <w:i w:val="0"/>
        </w:rPr>
        <w:t>Quyết định này có hiệu lực thi hành kể từ ngày ký. Những quy định trước đây trái với Quyết định này đều bãi bỏ.</w:t>
      </w:r>
    </w:p>
    <w:p>
      <w:r>
        <w:rPr>
          <w:b/>
          <w:i w:val="0"/>
        </w:rPr>
        <w:t>Điều 4</w:t>
      </w:r>
    </w:p>
    <w:p>
      <w:r>
        <w:rPr>
          <w:b w:val="0"/>
          <w:i w:val="0"/>
        </w:rPr>
        <w:t>Bộ trưởng Tổng thư ký Hội đồng Bộ trưởng, Bộ trưởng Bộ Nội thương, Bộ trưởng Bộ Thuỷ sản chịu trách nhiệm thi hành Quyết định này.</w:t>
      </w:r>
    </w:p>
    <w:p>
      <w:r>
        <w:rPr>
          <w:b w:val="0"/>
          <w:i w:val="0"/>
        </w:rPr>
        <w:br/>
      </w:r>
      <w:r>
        <w:rPr>
          <w:b/>
          <w:i w:val="0"/>
        </w:rPr>
        <w:br/>
      </w:r>
      <w:r>
        <w:rPr>
          <w:b/>
          <w:i w:val="0"/>
        </w:rPr>
        <w:br/>
      </w:r>
      <w:r>
        <w:rPr>
          <w:b/>
          <w:i/>
        </w:rPr>
        <w:br/>
      </w:r>
      <w:r>
        <w:rPr>
          <w:b/>
          <w:i/>
        </w:rPr>
        <w:t>(Đã ký)</w:t>
      </w:r>
      <w:r>
        <w:rPr>
          <w:b/>
          <w:i/>
        </w:rPr>
        <w:br/>
      </w:r>
      <w:r>
        <w:rPr>
          <w:b/>
          <w:i w:val="0"/>
        </w:rPr>
        <w:br/>
      </w:r>
      <w:r>
        <w:rPr>
          <w:b/>
          <w:i w:val="0"/>
        </w:rPr>
        <w:br/>
      </w:r>
      <w:r>
        <w:rPr>
          <w:b/>
          <w:i w:val="0"/>
        </w:rPr>
        <w:t>Tố Hữu</w:t>
      </w:r>
      <w:r>
        <w:rPr>
          <w:b/>
          <w:i w:val="0"/>
        </w:rPr>
        <w:br/>
      </w:r>
      <w:r>
        <w:rPr>
          <w:b/>
          <w:i w:val="0"/>
        </w:rPr>
        <w:br/>
      </w:r>
      <w:r>
        <w:rPr>
          <w:b w:val="0"/>
          <w:i w:val="0"/>
        </w:rPr>
        <w:br/>
      </w:r>
    </w:p>
    <w:p>
      <w:pPr>
        <w:jc w:val="center"/>
      </w:pPr>
      <w:r>
        <w:rPr>
          <w:b w:val="0"/>
          <w:i w:val="0"/>
        </w:rPr>
        <w:br/>
      </w:r>
      <w:r>
        <w:rPr>
          <w:b w:val="0"/>
          <w:i w:val="0"/>
        </w:rPr>
        <w:br/>
      </w:r>
      <w:r>
        <w:rPr>
          <w:b/>
          <w:i/>
        </w:rPr>
        <w:br/>
      </w:r>
      <w:r>
        <w:rPr>
          <w:b/>
          <w:i/>
        </w:rPr>
        <w:t>(Đã ký)</w:t>
      </w:r>
      <w:r>
        <w:rPr>
          <w:b/>
          <w:i/>
        </w:rPr>
        <w:br/>
      </w:r>
      <w:r>
        <w:rPr>
          <w:b w:val="0"/>
          <w:i w:val="0"/>
        </w:rPr>
        <w:br/>
      </w:r>
      <w:r>
        <w:rPr>
          <w:b/>
          <w:i w:val="0"/>
        </w:rPr>
        <w:br/>
      </w:r>
      <w:r>
        <w:rPr>
          <w:b/>
          <w:i w:val="0"/>
        </w:rPr>
        <w:t>Tố Hữu</w:t>
      </w:r>
      <w:r>
        <w:rPr>
          <w:b/>
          <w:i w:val="0"/>
        </w:rPr>
        <w:br/>
      </w:r>
      <w:r>
        <w:rPr>
          <w:b w:val="0"/>
          <w:i w:val="0"/>
        </w:rPr>
        <w:br/>
      </w:r>
    </w:p>
    <w:p>
      <w:r>
        <w:rPr>
          <w:b w:val="0"/>
          <w:i w:val="0"/>
        </w:rPr>
        <w:br/>
      </w:r>
      <w:r>
        <w:rPr>
          <w:b w:val="0"/>
          <w:i w:val="0"/>
        </w:rPr>
        <w:t>(Đã ký)</w:t>
      </w:r>
      <w:r>
        <w:rPr>
          <w:b w:val="0"/>
          <w:i w:val="0"/>
        </w:rPr>
        <w:br/>
      </w:r>
    </w:p>
    <w:p>
      <w:r>
        <w:rPr>
          <w:b w:val="0"/>
          <w:i w:val="0"/>
        </w:rPr>
        <w:br/>
      </w:r>
      <w:r>
        <w:rPr>
          <w:b w:val="0"/>
          <w:i w:val="0"/>
        </w:rPr>
        <w:t>Tố Hữu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