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2579/QĐ-GTCC Điều chỉnh mức thu cước qua phà, cầu phao, cầu treo trên địa bàn Thành phố</w:t>
      </w:r>
    </w:p>
    <w:p>
      <w:r>
        <w:rPr>
          <w:b w:val="0"/>
          <w:i w:val="0"/>
        </w:rPr>
        <w:br/>
      </w:r>
      <w:r>
        <w:rPr>
          <w:b w:val="0"/>
          <w:i w:val="0"/>
        </w:rPr>
        <w:br/>
      </w:r>
      <w:r>
        <w:rPr>
          <w:b/>
          <w:i w:val="0"/>
        </w:rPr>
        <w:br/>
      </w:r>
      <w:r>
        <w:rPr>
          <w:b/>
          <w:i w:val="0"/>
        </w:rPr>
        <w:br/>
      </w:r>
      <w:r>
        <w:rPr>
          <w:b/>
          <w:i w:val="0"/>
        </w:rPr>
        <w:t xml:space="preserve">UBND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2579/QĐ-GTCC</w:t>
      </w:r>
      <w:r>
        <w:rPr>
          <w:b w:val="0"/>
          <w:i w:val="0"/>
        </w:rPr>
        <w:br/>
      </w:r>
      <w:r>
        <w:rPr>
          <w:b w:val="0"/>
          <w:i w:val="0"/>
        </w:rPr>
        <w:br/>
      </w:r>
      <w:r>
        <w:rPr>
          <w:b w:val="0"/>
          <w:i/>
        </w:rPr>
        <w:br/>
      </w:r>
      <w:r>
        <w:rPr>
          <w:b w:val="0"/>
          <w:i/>
        </w:rPr>
        <w:t>Hải Phòng, ngày 6 tháng 11 năm 1996</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THÀNH PHỐ HẢI PHÒNG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THÀNH PHỐ HẢI PHÒNG</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THÀNH PHỐ HẢI PHÒNG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2579/QĐ-GTCC</w:t>
      </w:r>
      <w:r>
        <w:rPr>
          <w:b w:val="0"/>
          <w:i w:val="0"/>
        </w:rPr>
        <w:br/>
      </w:r>
      <w:r>
        <w:rPr>
          <w:b w:val="0"/>
          <w:i w:val="0"/>
        </w:rPr>
        <w:br/>
      </w:r>
      <w:r>
        <w:rPr>
          <w:b w:val="0"/>
          <w:i/>
        </w:rPr>
        <w:br/>
      </w:r>
      <w:r>
        <w:rPr>
          <w:b w:val="0"/>
          <w:i/>
        </w:rPr>
        <w:t>Hải Phòng, ngày 6 tháng 11 năm 1996</w:t>
      </w:r>
      <w:r>
        <w:rPr>
          <w:b w:val="0"/>
          <w:i/>
        </w:rPr>
        <w:br/>
      </w:r>
      <w:r>
        <w:rPr>
          <w:b w:val="0"/>
          <w:i w:val="0"/>
        </w:rPr>
        <w:br/>
      </w:r>
    </w:p>
    <w:p>
      <w:pPr>
        <w:jc w:val="center"/>
      </w:pPr>
      <w:r>
        <w:rPr>
          <w:b w:val="0"/>
          <w:i w:val="0"/>
        </w:rPr>
        <w:br/>
      </w:r>
      <w:r>
        <w:rPr>
          <w:b w:val="0"/>
          <w:i w:val="0"/>
        </w:rPr>
        <w:t>Số: 2579/QĐ-GTCC</w:t>
      </w:r>
      <w:r>
        <w:rPr>
          <w:b w:val="0"/>
          <w:i w:val="0"/>
        </w:rPr>
        <w:br/>
      </w:r>
    </w:p>
    <w:p>
      <w:pPr>
        <w:jc w:val="center"/>
      </w:pPr>
      <w:r>
        <w:rPr>
          <w:b w:val="0"/>
          <w:i w:val="0"/>
        </w:rPr>
        <w:br/>
      </w:r>
      <w:r>
        <w:rPr>
          <w:b w:val="0"/>
          <w:i w:val="0"/>
        </w:rPr>
        <w:t>Hải Phòng, ngày 6 tháng 11 năm 1996</w:t>
      </w:r>
      <w:r>
        <w:rPr>
          <w:b w:val="0"/>
          <w:i w:val="0"/>
        </w:rPr>
        <w:br/>
      </w:r>
    </w:p>
    <w:p>
      <w:r>
        <w:rPr>
          <w:b/>
          <w:i w:val="0"/>
        </w:rPr>
        <w:t>QUYẾT ĐỊNH</w:t>
      </w:r>
    </w:p>
    <w:p>
      <w:r>
        <w:rPr>
          <w:b/>
          <w:i w:val="0"/>
        </w:rPr>
        <w:t>Điều chỉnh mức thu cước qua phà,cầu phao, cầu treo</w:t>
      </w:r>
    </w:p>
    <w:p>
      <w:r>
        <w:rPr>
          <w:b/>
          <w:i w:val="0"/>
        </w:rPr>
        <w:t xml:space="preserve"> trên địa bàn Thành phố</w:t>
      </w:r>
    </w:p>
    <w:p>
      <w:r>
        <w:rPr>
          <w:b w:val="0"/>
          <w:i w:val="0"/>
        </w:rPr>
        <w:t>________________</w:t>
      </w:r>
    </w:p>
    <w:p>
      <w:r>
        <w:rPr>
          <w:b/>
          <w:i w:val="0"/>
        </w:rPr>
        <w:t>ỦY BAN NHÂN DÂN THÀNH PHỐ HẢI PHÒNG</w:t>
      </w:r>
    </w:p>
    <w:p>
      <w:r>
        <w:rPr>
          <w:b w:val="0"/>
          <w:i w:val="0"/>
        </w:rPr>
        <w:t>Căn cứ Luật Tổ chức Hội đồng Nhân dân và Ủy ban Nhân dân;</w:t>
      </w:r>
    </w:p>
    <w:p>
      <w:r>
        <w:rPr>
          <w:b w:val="0"/>
          <w:i w:val="0"/>
        </w:rPr>
        <w:t>Căn cứ Quyết định số 137/HĐBT ngày 27 tháng 04 năm 1992 của Hội đồng Bộ trưởng (nay là Chính phủ) quy định về công tác quản lý giá;</w:t>
      </w:r>
    </w:p>
    <w:p>
      <w:r>
        <w:rPr>
          <w:b w:val="0"/>
          <w:i w:val="0"/>
        </w:rPr>
        <w:t>Theo đề nghị của Liên Sở Tài chính - Giao thông công chính số 31/TT-GT ngày 18 tháng 10 năm 1996 về việc điều chỉnh mức thu cước qua phà, cầu phao, cầu treo trên địa bàn Thành phố;</w:t>
      </w:r>
    </w:p>
    <w:p>
      <w:r>
        <w:rPr>
          <w:b w:val="0"/>
          <w:i w:val="0"/>
        </w:rPr>
        <w:t>Sau khi có ý kiến thống nhất của thường trực Hội đồng Nhân dân Thành phố tại văn bản số 103/CP TT HĐND ngày 28/10/ 1996,</w:t>
      </w:r>
    </w:p>
    <w:p>
      <w:pPr>
        <w:jc w:val="center"/>
      </w:pPr>
      <w:r>
        <w:rPr>
          <w:b/>
          <w:i w:val="0"/>
        </w:rPr>
        <w:t>QUYẾT ĐỊNH</w:t>
      </w:r>
    </w:p>
    <w:p>
      <w:r>
        <w:rPr>
          <w:b/>
          <w:i w:val="0"/>
        </w:rPr>
        <w:t xml:space="preserve">Điều 1. </w:t>
      </w:r>
      <w:r>
        <w:rPr>
          <w:b w:val="0"/>
          <w:i w:val="0"/>
        </w:rPr>
        <w:t>Nay Điều chỉnh mức thu cước qua phà, cầu treo do Công ty Đường bộ Hải Phòng quản lý (có biểu cước cụ thể kèm theo).</w:t>
      </w:r>
    </w:p>
    <w:p>
      <w:r>
        <w:rPr>
          <w:b/>
          <w:i w:val="0"/>
        </w:rPr>
        <w:t xml:space="preserve">Điều 2. </w:t>
      </w:r>
      <w:r>
        <w:rPr>
          <w:b w:val="0"/>
          <w:i w:val="0"/>
        </w:rPr>
        <w:t>Quyết định này có hiệu lực thi hành từ ngày 09/11/1996.</w:t>
      </w:r>
    </w:p>
    <w:p>
      <w:r>
        <w:rPr>
          <w:b/>
          <w:i w:val="0"/>
        </w:rPr>
        <w:t xml:space="preserve">Điều 3. </w:t>
      </w:r>
      <w:r>
        <w:rPr>
          <w:b w:val="0"/>
          <w:i w:val="0"/>
        </w:rPr>
        <w:t>Các ngành Tài chính, Giao thông hướng dẫn Công ty đường bộ Hải Phòng  tổ chức  tốt việc thu và quản lý sử dụng nguồn thu cước phà theo Thông tư số 62/LB TC- GT ngày 23/07/1993.</w:t>
      </w:r>
    </w:p>
    <w:p>
      <w:r>
        <w:rPr>
          <w:b/>
          <w:i w:val="0"/>
        </w:rPr>
        <w:t xml:space="preserve">Điều 4. </w:t>
      </w:r>
      <w:r>
        <w:rPr>
          <w:b w:val="0"/>
          <w:i w:val="0"/>
        </w:rPr>
        <w:t>Các Ông, (Bà) Chánh Văn phòng Ủy ban Nhân dân Thành phố, Giám đốc Sở Tài chính, Giao thông công chính, Giám đốc Công ty Đường bộ Hải Phòng cùng các đơn vị có liên quan căn cứ quyết định thi hành./.</w:t>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Đỗ Gia Phách</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Đỗ Gia Phách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Đỗ Gia Phách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