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25/2001/QĐ-BKHCNMT Về việc phê duyệt mục tiêu, nội dung chủ yếu của Chương trình khoa học và công nghệ trọng điểm cấp Nhà nước giai đoạn 5 năm 2001-2005: "Khoa học và công nghệ phục vụ chăm sóc và bảo vệ sức khoẻ cộng đồng"</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 xml:space="preserve">******** </w:t>
      </w:r>
      <w:r>
        <w:rPr>
          <w:b w:val="0"/>
          <w:i w:val="0"/>
        </w:rPr>
        <w:br/>
      </w:r>
      <w:r>
        <w:rPr>
          <w:b w:val="0"/>
          <w:i w:val="0"/>
        </w:rPr>
        <w:br/>
      </w:r>
      <w:r>
        <w:rPr>
          <w:b w:val="0"/>
          <w:i w:val="0"/>
        </w:rPr>
        <w:br/>
      </w:r>
      <w:r>
        <w:rPr>
          <w:b w:val="0"/>
          <w:i w:val="0"/>
        </w:rPr>
        <w:br/>
      </w:r>
      <w:r>
        <w:rPr>
          <w:b w:val="0"/>
          <w:i w:val="0"/>
        </w:rPr>
        <w:t xml:space="preserve">Số: 25/2001/QĐ-BCN </w:t>
      </w:r>
      <w:r>
        <w:rPr>
          <w:b w:val="0"/>
          <w:i w:val="0"/>
        </w:rPr>
        <w:br/>
      </w:r>
      <w:r>
        <w:rPr>
          <w:b w:val="0"/>
          <w:i w:val="0"/>
        </w:rPr>
        <w:br/>
      </w:r>
      <w:r>
        <w:rPr>
          <w:b w:val="0"/>
          <w:i/>
        </w:rPr>
        <w:t xml:space="preserve">Hà Nội, ngày 23 tháng 05 năm 2001 </w:t>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QUYẾT ĐỊNH</w:t>
      </w:r>
      <w:r>
        <w:rPr>
          <w:b w:val="0"/>
          <w:i w:val="0"/>
        </w:rPr>
        <w:br/>
      </w:r>
      <w:r>
        <w:rPr>
          <w:b/>
          <w:i w:val="0"/>
        </w:rPr>
        <w:t>Về việc chuyển Viện Cơ khí năng lượng và mỏ về làm đơn vị sự nghiệp thành viên của Tổng Công ty Than Việt Nam</w:t>
      </w:r>
      <w:r>
        <w:rPr>
          <w:b w:val="0"/>
          <w:i w:val="0"/>
        </w:rPr>
        <w:br/>
      </w:r>
      <w:r>
        <w:rPr>
          <w:b/>
          <w:i w:val="0"/>
        </w:rPr>
        <w:t>BỘ TRƯỞNG BỘ CÔNG NGHIỆP</w:t>
      </w:r>
      <w:r>
        <w:rPr>
          <w:b w:val="0"/>
          <w:i w:val="0"/>
        </w:rPr>
        <w:br/>
      </w:r>
      <w:r>
        <w:rPr>
          <w:b w:val="0"/>
          <w:i/>
        </w:rPr>
        <w:t>Căn cứ Nghị định số 74/CP ngày 01 tháng 11 năm 1995 của Chính phủ về chức năng, nhiệm vụ quyền hạn và tổ chức bộ máy Bộ Công nghiệp;</w:t>
      </w:r>
      <w:r>
        <w:rPr>
          <w:b w:val="0"/>
          <w:i w:val="0"/>
        </w:rPr>
        <w:br/>
      </w:r>
      <w:r>
        <w:rPr>
          <w:b w:val="0"/>
          <w:i/>
        </w:rPr>
        <w:t xml:space="preserve">Căn cứ Nghị định số 50/CP ngày 28 tháng 8 năm 1996 của Chính phủ về việc thành lập, tổ chức lại, giải thể và phá sản doanh nghiệp nhà nước; </w:t>
      </w:r>
      <w:r>
        <w:rPr>
          <w:b w:val="0"/>
          <w:i w:val="0"/>
        </w:rPr>
        <w:br/>
      </w:r>
      <w:r>
        <w:rPr>
          <w:b w:val="0"/>
          <w:i/>
        </w:rPr>
        <w:t>Căn cứ Quyết định số 67/2001/QĐ-TTg ngày 27 tháng 4 năm 2001 của Thủ tướng Chính phủ về việc sáp nhập Tổng Công ty Cơ khí năng lượng và mỏ vào Tổng Công ty Than Việt Nam;</w:t>
      </w:r>
      <w:r>
        <w:rPr>
          <w:b w:val="0"/>
          <w:i w:val="0"/>
        </w:rPr>
        <w:br/>
      </w:r>
      <w:r>
        <w:rPr>
          <w:b w:val="0"/>
          <w:i/>
        </w:rPr>
        <w:t>Theo đề nghị của Hội đồng quản trị Tổng Công ty Than Việt Nam (Tờ trình số 1123/TT-HĐQT ngày 15 tháng 5 năm 2001) và Vụ trưởng Vụ Tổ chức - Cán bộ,</w:t>
      </w:r>
      <w:r>
        <w:rPr>
          <w:b w:val="0"/>
          <w:i w:val="0"/>
        </w:rPr>
        <w:br/>
      </w:r>
      <w:r>
        <w:rPr>
          <w:b/>
          <w:i w:val="0"/>
        </w:rPr>
        <w:t>QUYẾT ĐỊNH :</w:t>
      </w:r>
      <w:r>
        <w:rPr>
          <w:b w:val="0"/>
          <w:i w:val="0"/>
        </w:rPr>
        <w:br/>
      </w:r>
      <w:r>
        <w:rPr>
          <w:b/>
          <w:i w:val="0"/>
        </w:rPr>
        <w:t xml:space="preserve">Điều 1. </w:t>
      </w:r>
      <w:r>
        <w:rPr>
          <w:b w:val="0"/>
          <w:i w:val="0"/>
        </w:rPr>
        <w:t>Giữ nguyên tên gọi và chuyển Viện Cơ khí năng lượng và mỏ, đơn vị sự nghiệp thành viên của Tổng Công ty Cơ khí năng lượng và mỏ về làm đơn vị sự nghiệp thành viên của Tổng Công ty Than Việt Nam.</w:t>
      </w:r>
      <w:r>
        <w:rPr>
          <w:b w:val="0"/>
          <w:i w:val="0"/>
        </w:rPr>
        <w:br/>
      </w:r>
      <w:r>
        <w:rPr>
          <w:b/>
          <w:i w:val="0"/>
        </w:rPr>
        <w:t xml:space="preserve">Điều 2. </w:t>
      </w:r>
      <w:r>
        <w:rPr>
          <w:b w:val="0"/>
          <w:i w:val="0"/>
        </w:rPr>
        <w:t xml:space="preserve">Tổng giám đốc Tổng Công ty Than Việt Nam có trách nhiệm chỉ đạo Viện Cơ khí năng lượng và mỏ làm đầy đủ các thủ tục cần thiết để đảm bảo hoạt động bình thường theo Điều lệ của Tổng Công ty Than Việt Nam, các quy định hiện hành của Nhà nước và Điều lệ tổ chức và hoạt động của Viện do Hội đồng quản trị Tổng Công ty Than Việt Nam phê duyệt. </w:t>
      </w:r>
      <w:r>
        <w:rPr>
          <w:b w:val="0"/>
          <w:i w:val="0"/>
        </w:rPr>
        <w:br/>
      </w:r>
      <w:r>
        <w:rPr>
          <w:b/>
          <w:i w:val="0"/>
        </w:rPr>
        <w:t xml:space="preserve">Điều 3. </w:t>
      </w:r>
      <w:r>
        <w:rPr>
          <w:b w:val="0"/>
          <w:i w:val="0"/>
        </w:rPr>
        <w:t>Quyết định này có hiệu lực thi hành sau 15 ngày kể từ ngày ký. Các văn bản trước đây trái với Quyết định này đều bãi bỏ.Chánh Văn phòng Bộ, Chánh Thanh tra Bộ, các Vụ trưởng, Cục trưởng, Chủ tịch Hội đồng quản trị và Tổng giám đốc Tổng Công ty Than Việt Nam, Viện trưởng Viện Cơ khí năng lượng và mỏ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TRƯỞNG BỘ CÔNG NGHIỆP</w:t>
      </w:r>
      <w:r>
        <w:rPr>
          <w:b w:val="0"/>
          <w:i w:val="0"/>
        </w:rPr>
        <w:t xml:space="preserve"> </w:t>
      </w:r>
      <w:r>
        <w:br/>
      </w:r>
      <w:r>
        <w:br/>
      </w:r>
      <w:r>
        <w:rPr>
          <w:b w:val="0"/>
          <w:i w:val="0"/>
        </w:rPr>
        <w:br/>
        <w:t xml:space="preserve">          (Đã ký) </w:t>
      </w:r>
      <w:r>
        <w:br/>
      </w:r>
      <w:r>
        <w:br/>
      </w:r>
      <w:r>
        <w:rPr>
          <w:b/>
          <w:i w:val="0"/>
        </w:rPr>
        <w:t>Đặng Vũ Chư</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p>
        </w:tc>
        <w:tc>
          <w:tcPr>
            <w:tcW w:type="dxa" w:w="4320"/>
          </w:tcPr>
          <w:p>
            <w:r>
              <w:rPr>
                <w:b w:val="0"/>
                <w:i w:val="0"/>
              </w:rPr>
              <w:br/>
            </w:r>
            <w:r>
              <w:rPr>
                <w:b/>
                <w:i w:val="0"/>
              </w:rPr>
              <w:t>BỘ TRƯỞNG BỘ CÔNG NGHIỆP</w:t>
            </w:r>
            <w:r>
              <w:rPr>
                <w:b w:val="0"/>
                <w:i w:val="0"/>
              </w:rPr>
              <w:t xml:space="preserve"> </w:t>
            </w:r>
            <w:r>
              <w:br/>
            </w:r>
            <w:r>
              <w:br/>
            </w:r>
            <w:r>
              <w:rPr>
                <w:b w:val="0"/>
                <w:i w:val="0"/>
              </w:rPr>
              <w:br/>
              <w:t xml:space="preserve">          (Đã ký) </w:t>
            </w:r>
            <w:r>
              <w:br/>
            </w:r>
            <w:r>
              <w:br/>
            </w:r>
            <w:r>
              <w:rPr>
                <w:b/>
                <w:i w:val="0"/>
              </w:rPr>
              <w:t>Đặng Vũ Chư</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