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25/2006/QĐ-BBCVT Ban hành cước thuê kênh viễn thông nội hạt của Tập đoàn Bưu chính Viễn thông Việt Nam</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25/2006/QĐ-BBCVT</w:t>
        <w:br/>
        <w:t xml:space="preserve">     </w:t>
      </w:r>
      <w:r>
        <w:rPr>
          <w:b w:val="0"/>
          <w:i w:val="0"/>
        </w:rPr>
        <w:br/>
      </w:r>
      <w:r>
        <w:rPr>
          <w:b w:val="0"/>
          <w:i/>
        </w:rPr>
        <w:br/>
        <w:t xml:space="preserve">      Hà Nội, ngày 10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25/2006/QĐ-BBCVT</w:t>
        <w:br/>
        <w:t xml:space="preserve">     </w:t>
      </w:r>
      <w:r>
        <w:rPr>
          <w:b w:val="0"/>
          <w:i w:val="0"/>
        </w:rPr>
        <w:br/>
      </w:r>
      <w:r>
        <w:rPr>
          <w:b w:val="0"/>
          <w:i/>
        </w:rPr>
        <w:br/>
        <w:t xml:space="preserve">      Hà Nội, ngày 10 tháng 7 năm 2006</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25/2006/QĐ-BBCVT</w:t>
        <w:br/>
        <w:t xml:space="preserve">     </w:t>
      </w:r>
      <w:r>
        <w:rPr>
          <w:b w:val="0"/>
          <w:i w:val="0"/>
        </w:rPr>
        <w:br/>
      </w:r>
      <w:r>
        <w:rPr>
          <w:b w:val="0"/>
          <w:i/>
        </w:rPr>
        <w:br/>
        <w:t xml:space="preserve">      Hà Nội, ngày 10 tháng 7 năm 2006</w:t>
        <w:br/>
        <w:t xml:space="preserve">     </w:t>
      </w:r>
      <w:r>
        <w:rPr>
          <w:b w:val="0"/>
          <w:i w:val="0"/>
        </w:rPr>
        <w:br/>
      </w:r>
    </w:p>
    <w:p>
      <w:pPr>
        <w:jc w:val="center"/>
      </w:pPr>
      <w:r>
        <w:rPr>
          <w:b w:val="0"/>
          <w:i w:val="0"/>
        </w:rPr>
        <w:br/>
        <w:t xml:space="preserve">      Số: 25/2006/QĐ-BBCVT</w:t>
        <w:br/>
        <w:t xml:space="preserve">     </w:t>
      </w:r>
    </w:p>
    <w:p>
      <w:pPr>
        <w:jc w:val="center"/>
      </w:pPr>
      <w:r>
        <w:rPr>
          <w:b w:val="0"/>
          <w:i w:val="0"/>
        </w:rPr>
        <w:br/>
        <w:t xml:space="preserve">      Hà Nội, ngày 10 tháng 7 năm 2006</w:t>
        <w:br/>
        <w:t xml:space="preserve">     </w:t>
      </w:r>
    </w:p>
    <w:p>
      <w:r>
        <w:rPr>
          <w:b/>
          <w:i w:val="0"/>
        </w:rPr>
        <w:t>QUYẾT ĐỊNH</w:t>
      </w:r>
    </w:p>
    <w:p>
      <w:r>
        <w:rPr>
          <w:b/>
          <w:i w:val="0"/>
        </w:rPr>
        <w:t xml:space="preserve">Ban hành cước thuê kênh viễn thông nội hạt </w:t>
      </w:r>
      <w:r>
        <w:rPr>
          <w:b/>
          <w:i w:val="0"/>
        </w:rPr>
        <w:t xml:space="preserve">của </w:t>
      </w:r>
    </w:p>
    <w:p>
      <w:r>
        <w:rPr>
          <w:b/>
          <w:i w:val="0"/>
        </w:rPr>
        <w:t>Tập đoàn Bưu chính Viễn thông Việt Nam</w:t>
      </w:r>
    </w:p>
    <w:p>
      <w:r>
        <w:rPr>
          <w:b/>
          <w:i w:val="0"/>
        </w:rPr>
        <w:t>____________________</w:t>
      </w:r>
    </w:p>
    <w:p>
      <w:pPr>
        <w:jc w:val="center"/>
      </w:pPr>
      <w:r>
        <w:rPr>
          <w:b w:val="0"/>
          <w:i w:val="0"/>
        </w:rPr>
        <w:t xml:space="preserve"> </w:t>
      </w:r>
      <w:r>
        <w:rPr>
          <w:b/>
          <w:i w:val="0"/>
        </w:rPr>
        <w:t>BỘ TRƯỞNG BỘ BƯU CHÍNH, VIỄN THÔNG</w:t>
      </w:r>
    </w:p>
    <w:p>
      <w:r>
        <w:rPr>
          <w:b w:val="0"/>
          <w:i w:val="0"/>
        </w:rPr>
        <w:t xml:space="preserve"> </w:t>
      </w:r>
      <w:r>
        <w:rPr>
          <w:b w:val="0"/>
          <w:i/>
        </w:rPr>
        <w:t>Căn cứ Nghị định số 90/2002/NĐ-CP ngày 11/11/2002 của Chính phủ quy định chức năng, nhiệm vụ, quyền hạn và cơ cấu tổ chức bộ máy của Bộ Bưu chính, Viễn thông;</w:t>
      </w:r>
    </w:p>
    <w:p>
      <w:r>
        <w:rPr>
          <w:b w:val="0"/>
          <w:i/>
        </w:rPr>
        <w:t>Căn cứ Quyết định số 217/2003/QĐ-TTg ngày 27/10/2003 của Thủ tướng Chính phủ về quản lý giá cước các dịch vụ bưu chính, viễn thông;</w:t>
      </w:r>
    </w:p>
    <w:p>
      <w:r>
        <w:rPr>
          <w:b w:val="0"/>
          <w:i/>
        </w:rPr>
        <w:t>Xét đề nghị của Tổng công ty Bưu chính Viễn thông Việt Nam (nay là Tập đoàn Bưu chính Viễn thông Việt Nam) tại Công văn số 1821/GC-TT ngày 06/04/2006 về phương án giảm cước thuê kênh;</w:t>
      </w:r>
    </w:p>
    <w:p>
      <w:r>
        <w:rPr>
          <w:b w:val="0"/>
          <w:i/>
        </w:rPr>
        <w:t>Theo đề nghị của Vụ trưởng Vụ Kế hoạch - Tài chính.</w:t>
      </w:r>
    </w:p>
    <w:p>
      <w:pPr>
        <w:jc w:val="center"/>
      </w:pPr>
      <w:r>
        <w:rPr>
          <w:b w:val="0"/>
          <w:i w:val="0"/>
        </w:rPr>
        <w:t xml:space="preserve"> </w:t>
      </w:r>
      <w:r>
        <w:rPr>
          <w:b/>
          <w:i w:val="0"/>
        </w:rPr>
        <w:t>QUYẾT ĐỊNH</w:t>
      </w:r>
    </w:p>
    <w:p>
      <w:pPr>
        <w:jc w:val="both"/>
      </w:pPr>
      <w:r>
        <w:rPr>
          <w:b w:val="0"/>
          <w:i w:val="0"/>
        </w:rPr>
        <w:t xml:space="preserve"> </w:t>
      </w:r>
      <w:r>
        <w:rPr>
          <w:b/>
          <w:i w:val="0"/>
        </w:rPr>
        <w:t xml:space="preserve">Điều 1. </w:t>
      </w:r>
    </w:p>
    <w:p>
      <w:pPr>
        <w:jc w:val="both"/>
      </w:pPr>
      <w:r>
        <w:rPr>
          <w:b w:val="0"/>
          <w:i w:val="0"/>
        </w:rPr>
        <w:t>Ban hành kèm theo Quyết định này Bảng cước dịch vụ thuê kênh viễn thông nội hạt của Tập đoàn Bưu chính Viễn thông Việt Nam.</w:t>
      </w:r>
    </w:p>
    <w:p>
      <w:pPr>
        <w:jc w:val="both"/>
      </w:pPr>
      <w:r>
        <w:rPr>
          <w:b/>
          <w:i w:val="0"/>
        </w:rPr>
        <w:t>Điều 2.</w:t>
      </w:r>
    </w:p>
    <w:p>
      <w:pPr>
        <w:jc w:val="both"/>
      </w:pPr>
      <w:r>
        <w:rPr>
          <w:b w:val="0"/>
          <w:i w:val="0"/>
        </w:rPr>
        <w:t>Các mức cước nêu trong Bảng cước kèm theo Quyết định này chưa bao gồm thuế giá trị gia tăng.</w:t>
      </w:r>
    </w:p>
    <w:p>
      <w:pPr>
        <w:jc w:val="both"/>
      </w:pPr>
      <w:r>
        <w:rPr>
          <w:b/>
          <w:i w:val="0"/>
        </w:rPr>
        <w:t xml:space="preserve">Điều 3. </w:t>
      </w:r>
    </w:p>
    <w:p>
      <w:pPr>
        <w:jc w:val="both"/>
      </w:pPr>
      <w:r>
        <w:rPr>
          <w:b w:val="0"/>
          <w:i w:val="0"/>
        </w:rPr>
        <w:t>Quyết định này có hiệu lực thi hành sau 15 ngày, kể từ ngày đăng Công báo. Các quy định trước đây trái với Quyết định này đều bãi bỏ.</w:t>
      </w:r>
    </w:p>
    <w:p>
      <w:pPr>
        <w:jc w:val="both"/>
      </w:pPr>
      <w:r>
        <w:rPr>
          <w:b/>
          <w:i w:val="0"/>
        </w:rPr>
        <w:t xml:space="preserve">Điều 4. </w:t>
      </w:r>
      <w:r>
        <w:rPr>
          <w:b w:val="0"/>
          <w:i w:val="0"/>
        </w:rPr>
        <w:t>Chánh Văn phòng, Vụ trưởng Vụ Kế hoạch - Tài chính, Thủ trưởng các đơn vị liên quan trực thuộc Bộ Bưu chính, Viễn thông, Tập đoàn Bưu chính Viễn thông Việt Nam và các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Nam Thắng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Nam Thắng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Nam Thắng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Nam Thắng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