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25/2015/QĐ-UBND Ban hành Quy định phân công thực hiện các quyền, trách nhiệm, nghĩa vụ của chủ sở hữu Nhà nước đối với doanh nghiệp nhà nước và vốn Nhà nước đầu tư vào doanh nghiệp.</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25/2015/QĐ-UBND</w:t>
        <w:br/>
        <w:t xml:space="preserve">     </w:t>
      </w:r>
      <w:r>
        <w:rPr>
          <w:b w:val="0"/>
          <w:i w:val="0"/>
        </w:rPr>
        <w:br/>
      </w:r>
      <w:r>
        <w:rPr>
          <w:b w:val="0"/>
          <w:i/>
        </w:rPr>
        <w:br/>
        <w:t xml:space="preserve">      Thành phố Hồ Chí Minh, ngày 15 tháng 5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25/2015/QĐ-UBND</w:t>
        <w:br/>
        <w:t xml:space="preserve">     </w:t>
      </w:r>
      <w:r>
        <w:rPr>
          <w:b w:val="0"/>
          <w:i w:val="0"/>
        </w:rPr>
        <w:br/>
      </w:r>
      <w:r>
        <w:rPr>
          <w:b w:val="0"/>
          <w:i/>
        </w:rPr>
        <w:br/>
        <w:t xml:space="preserve">      Thành phố Hồ Chí Minh, ngày 15 tháng 5 năm 2015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25/2015/QĐ-UBND</w:t>
        <w:br/>
        <w:t xml:space="preserve">     </w:t>
      </w:r>
      <w:r>
        <w:rPr>
          <w:b w:val="0"/>
          <w:i w:val="0"/>
        </w:rPr>
        <w:br/>
      </w:r>
      <w:r>
        <w:rPr>
          <w:b w:val="0"/>
          <w:i/>
        </w:rPr>
        <w:br/>
        <w:t xml:space="preserve">      Thành phố Hồ Chí Minh, ngày 15 tháng 5 năm 2015</w:t>
        <w:br/>
        <w:t xml:space="preserve">     </w:t>
      </w:r>
      <w:r>
        <w:rPr>
          <w:b w:val="0"/>
          <w:i w:val="0"/>
        </w:rPr>
        <w:br/>
      </w:r>
    </w:p>
    <w:p>
      <w:pPr>
        <w:jc w:val="center"/>
      </w:pPr>
      <w:r>
        <w:rPr>
          <w:b w:val="0"/>
          <w:i w:val="0"/>
        </w:rPr>
        <w:br/>
        <w:t xml:space="preserve">      Số: 25/2015/QĐ-UBND</w:t>
        <w:br/>
        <w:t xml:space="preserve">     </w:t>
      </w:r>
    </w:p>
    <w:p>
      <w:pPr>
        <w:jc w:val="center"/>
      </w:pPr>
      <w:r>
        <w:rPr>
          <w:b w:val="0"/>
          <w:i w:val="0"/>
        </w:rPr>
        <w:br/>
        <w:t xml:space="preserve">      Thành phố Hồ Chí Minh, ngày 15 tháng 5 năm 2015</w:t>
        <w:br/>
        <w:t xml:space="preserve">     </w:t>
      </w:r>
    </w:p>
    <w:p>
      <w:pPr>
        <w:jc w:val="center"/>
      </w:pPr>
      <w:r>
        <w:rPr>
          <w:b/>
          <w:i w:val="0"/>
        </w:rPr>
        <w:t>QUYẾT ĐỊNH</w:t>
      </w:r>
    </w:p>
    <w:p>
      <w:pPr>
        <w:jc w:val="center"/>
      </w:pPr>
      <w:r>
        <w:rPr>
          <w:b/>
          <w:i w:val="0"/>
        </w:rPr>
        <w:t>Ban hành Quy định phân công thực hiện các quyền, trách nhiệm, nghĩa vụ của chủ sở hữu Nhà nước đối với doanh nghiệp nhà nước và vốn Nhà nước đầu tư vào doanh nghiệp</w:t>
      </w:r>
    </w:p>
    <w:p>
      <w:pPr>
        <w:jc w:val="center"/>
      </w:pPr>
      <w:r>
        <w:rPr>
          <w:b/>
          <w:i w:val="0"/>
        </w:rPr>
        <w:t>__________________</w:t>
      </w:r>
    </w:p>
    <w:p>
      <w:pPr>
        <w:jc w:val="center"/>
      </w:pPr>
      <w:r>
        <w:rPr>
          <w:b/>
          <w:i w:val="0"/>
        </w:rPr>
        <w:t>ỦY BAN NHÂN DÂN THÀNH PHỐ HỒ CHÍ MINH</w:t>
      </w:r>
    </w:p>
    <w:p>
      <w:pPr>
        <w:jc w:val="both"/>
      </w:pPr>
      <w:r>
        <w:rPr>
          <w:b w:val="0"/>
          <w:i w:val="0"/>
        </w:rPr>
        <w:t xml:space="preserve">Căn cứ Luật Tổ chức Hội đồng nhân dân và Ủy ban nhân dân ngày 26 tháng 11 năm 2003; </w:t>
      </w:r>
    </w:p>
    <w:p>
      <w:pPr>
        <w:jc w:val="both"/>
      </w:pPr>
      <w:r>
        <w:rPr>
          <w:b w:val="0"/>
          <w:i w:val="0"/>
        </w:rPr>
        <w:t xml:space="preserve">Căn cứ Luật Ban hành văn bản quy phạm pháp luật của Hội đồng nhân dân và Ủy ban nhân dân ngày 03 tháng 12 năm 2004; </w:t>
      </w:r>
    </w:p>
    <w:p>
      <w:pPr>
        <w:jc w:val="both"/>
      </w:pPr>
      <w:r>
        <w:rPr>
          <w:b w:val="0"/>
          <w:i w:val="0"/>
        </w:rPr>
        <w:t xml:space="preserve">Căn cứ Luật Doanh nghiệp ngày 29 tháng 11 năm 2005; </w:t>
      </w:r>
    </w:p>
    <w:p>
      <w:pPr>
        <w:jc w:val="both"/>
      </w:pPr>
      <w:r>
        <w:rPr>
          <w:b w:val="0"/>
          <w:i w:val="0"/>
        </w:rPr>
        <w:t xml:space="preserve">Căn cứ Nghị định số 25/2010/NĐ-CP ngày 19 tháng 3 năm 2010 của Chính phủ về chuyển đổi công ty nhà nước thành công ty trách nhiệm hữu hạn một thành viên và tổ chức quản lý công ty trách nhiệm hữu hạn một thành viên do Nhà nước làm chủ sở hữu; </w:t>
      </w:r>
    </w:p>
    <w:p>
      <w:pPr>
        <w:jc w:val="both"/>
      </w:pPr>
      <w:r>
        <w:rPr>
          <w:b w:val="0"/>
          <w:i w:val="0"/>
        </w:rPr>
        <w:t xml:space="preserve">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 </w:t>
      </w:r>
    </w:p>
    <w:p>
      <w:pPr>
        <w:jc w:val="both"/>
      </w:pPr>
      <w:r>
        <w:rPr>
          <w:b w:val="0"/>
          <w:i w:val="0"/>
        </w:rPr>
        <w:t>Căn cứ Nghị định số 71/2013/NĐ-CP ngày 11 tháng 7 năm 2013 của Chính phủ về đầu tư vốn Nhà nước vào doanh nghiệp và quản lý tài chính đối với doanh nghiệp do Nhà nước nắm giữ 100% vốn điều lệ;</w:t>
      </w:r>
    </w:p>
    <w:p>
      <w:pPr>
        <w:jc w:val="both"/>
      </w:pPr>
      <w:r>
        <w:rPr>
          <w:b w:val="0"/>
          <w:i w:val="0"/>
        </w:rPr>
        <w:t xml:space="preserve">Căn cứ Nghị định số 24/2014/NĐ-CP ngày 04 tháng 4 năm 2014 của Chính phủ quy định tổ chức các cơ quan chuyên môn thuộc Ủy ban nhân dân tỉnh, thành phố trực thuộc Trung ương; </w:t>
      </w:r>
    </w:p>
    <w:p>
      <w:pPr>
        <w:jc w:val="both"/>
      </w:pPr>
      <w:r>
        <w:rPr>
          <w:b w:val="0"/>
          <w:i w:val="0"/>
        </w:rPr>
        <w:t>Xét đề nghị của Giám đốc Sở Kế hoạch và Đầu tư tại Tờ trình số 8239/TTrSKHĐT-KT ngày 30 tháng 9 năm 2014; ý kiến của Sở Tư pháp tại Công văn số 4567/STP-VB ngày 25 tháng 8 năm 2014 và ý kiến thẩm định của Sở Tư pháp tại Công văn số 1171/STP-VB ngày 17 tháng 3 năm 2015,</w:t>
      </w:r>
    </w:p>
    <w:p>
      <w:pPr>
        <w:jc w:val="center"/>
      </w:pPr>
      <w:r>
        <w:rPr>
          <w:b/>
          <w:i w:val="0"/>
        </w:rPr>
        <w:t>QUYẾT ĐỊNH:</w:t>
      </w:r>
    </w:p>
    <w:p>
      <w:r>
        <w:rPr>
          <w:b/>
          <w:i w:val="0"/>
        </w:rPr>
        <w:t xml:space="preserve">Điều 1. </w:t>
      </w:r>
      <w:r>
        <w:rPr>
          <w:b w:val="0"/>
          <w:i w:val="0"/>
        </w:rPr>
        <w:t>Ban hành kèm theo Quyết định này Quy định phân công thực hiện các quyền, trách nhiệm, nghĩa vụ của chủ sở hữu Nhà nước đối với doanh nghiệp nhà nước và vốn Nhà nước đầu tư vào doanh nghiệp.</w:t>
      </w:r>
    </w:p>
    <w:p>
      <w:r>
        <w:rPr>
          <w:b/>
          <w:i w:val="0"/>
        </w:rPr>
        <w:t xml:space="preserve">Điều 2. </w:t>
      </w:r>
      <w:r>
        <w:rPr>
          <w:b w:val="0"/>
          <w:i w:val="0"/>
        </w:rPr>
        <w:t>Quyết định này có hiệu lực thi hành sau mười (10) ngày, kể từ ngày ký.</w:t>
      </w:r>
    </w:p>
    <w:p>
      <w:r>
        <w:rPr>
          <w:b/>
          <w:i w:val="0"/>
        </w:rPr>
        <w:t xml:space="preserve">Điều 3. </w:t>
      </w:r>
      <w:r>
        <w:rPr>
          <w:b w:val="0"/>
          <w:i w:val="0"/>
        </w:rPr>
        <w:t>Chánh Văn phòng Ủy ban nhân dân Thành phố, Giám đốc Sở Kế hoạch và Đầu tư, Thủ trưởng các sở - ngành, Chủ tịch Ủy ban nhân dân quận - huyện, Hội đồng thành viên, Tổng Giám đốc (Giám đốc) các Công ty trách nhiệm hữu hạn nhà nước một thành viên do Ủy ban nhân dân Thành phố Hồ Chí Minh làm chủ sở hữu, Thủ trưởng các cơ quan, đơn vị liên quan có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Mạnh Hà</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Mạnh Hà</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Mạnh Hà</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Mạnh Hà</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