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25/2022/TT-BTC Quy định mức thu, chế độ thu, nộp, quản lý và sử dụng phí, lệ phí trong lĩnh vực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QUY ĐỊNH MỨC THU, CHẾ ĐỘ THU, NỘP, QUẢN LÝ VÀ SỬ DỤNG PHÍ, LỆ PHÍ TRONG LĨNH VỰC CHỨNG KHOÁN</w:t>
      </w:r>
    </w:p>
    <w:p>
      <w:pPr>
        <w:jc w:val="both"/>
      </w:pPr>
      <w:r>
        <w:rPr>
          <w:b w:val="0"/>
          <w:i/>
        </w:rPr>
        <w:t>Căn cứ Luật Phí và lệ phí ngày 25 tháng 11 năm 2015;</w:t>
      </w:r>
    </w:p>
    <w:p>
      <w:pPr>
        <w:jc w:val="both"/>
      </w:pPr>
      <w:r>
        <w:rPr>
          <w:b w:val="0"/>
          <w:i/>
        </w:rPr>
        <w:t>Căn cứ Luật Ngân sách nhà nước ngày 25 tháng 6 năm 2015;</w:t>
      </w:r>
    </w:p>
    <w:p>
      <w:pPr>
        <w:jc w:val="both"/>
      </w:pPr>
      <w:r>
        <w:rPr>
          <w:b w:val="0"/>
          <w:i/>
        </w:rPr>
        <w:t>Căn cứ Luật Chứng khoán ngày 26 tháng 11 năm 2019;</w:t>
      </w:r>
    </w:p>
    <w:p>
      <w:pPr>
        <w:jc w:val="both"/>
      </w:pPr>
      <w:r>
        <w:rPr>
          <w:b w:val="0"/>
          <w:i/>
        </w:rPr>
        <w:t>Căn cứ Nghị định số 155/2020/NĐ-CP ngày 31 tháng 12 năm 2020 của Chính phủ quy định chi tiết thi hành một số điều của Luật Chứng khoán;</w:t>
      </w:r>
    </w:p>
    <w:p>
      <w:pPr>
        <w:jc w:val="both"/>
      </w:pPr>
      <w:r>
        <w:rPr>
          <w:b w:val="0"/>
          <w:i/>
        </w:rPr>
        <w:t>Căn cứ Nghị định số 158/2020/NĐ-CP ngày 31 tháng 12 năm 2020 của Chính phủ về chứng khoán phái sinh và thị trường chứng khoán phái sinh;</w:t>
      </w:r>
    </w:p>
    <w:p>
      <w:pPr>
        <w:jc w:val="both"/>
      </w:pPr>
      <w:r>
        <w:rPr>
          <w:b w:val="0"/>
          <w:i/>
        </w:rPr>
        <w:t>Căn cứ Nghị định số 120/2016/NĐ-CP ngày 23 tháng 8 năm 2016 của Chính phủ quy định chi tiết và hướng dẫn thi hành một số điều của Luật Phí và lệ phí;</w:t>
      </w:r>
    </w:p>
    <w:p>
      <w:pPr>
        <w:jc w:val="both"/>
      </w:pPr>
      <w:r>
        <w:rPr>
          <w:b w:val="0"/>
          <w:i/>
        </w:rPr>
        <w:t>Căn cứ Nghị định số 126/2020/NĐ-CP ngày 19 tháng 10 năm 2020 của Chính phủ quy định chi tiết một số điều của Luật Quản lý thuế;</w:t>
      </w:r>
    </w:p>
    <w:p>
      <w:pPr>
        <w:jc w:val="both"/>
      </w:pPr>
      <w:r>
        <w:rPr>
          <w:b w:val="0"/>
          <w:i/>
        </w:rPr>
        <w:t>Căn cứ Nghị định số 135/2015/NĐ-CP ngày 31 tháng 12 năm 2015 của Chính phủ quy định về đầu tư gián tiếp ra nước ngoài;</w:t>
      </w:r>
    </w:p>
    <w:p>
      <w:pPr>
        <w:jc w:val="both"/>
      </w:pPr>
      <w:r>
        <w:rPr>
          <w:b w:val="0"/>
          <w:i/>
        </w:rPr>
        <w:t>Căn cứ Nghị định số 87/2017/NĐ-CP ngày 26 tháng 7 năm 2017 của Chính phủ quy định chức năng, nhiệm vụ, quyền hạn và cơ cấu tổ chức của Bộ Tài chính;</w:t>
      </w:r>
    </w:p>
    <w:p>
      <w:pPr>
        <w:jc w:val="both"/>
      </w:pPr>
      <w:r>
        <w:rPr>
          <w:b w:val="0"/>
          <w:i/>
        </w:rPr>
        <w:t>Căn cứ Quyết định số 29/2009/QĐ-TTg ngày 20 tháng 02 năm 2009 của Thủ tướng Chính phủ về chế độ tự chủ về biên chế và kinh phí hoạt động của Ủy ban Chứng khoán Nhà nước;</w:t>
      </w:r>
    </w:p>
    <w:p>
      <w:pPr>
        <w:jc w:val="both"/>
      </w:pPr>
      <w:r>
        <w:rPr>
          <w:b w:val="0"/>
          <w:i/>
        </w:rPr>
        <w:t>Theo đề nghị của Vụ trưởng Vụ Chính sách thuế;</w:t>
      </w:r>
    </w:p>
    <w:p>
      <w:pPr>
        <w:jc w:val="both"/>
      </w:pPr>
      <w:r>
        <w:rPr>
          <w:b w:val="0"/>
          <w:i/>
        </w:rPr>
        <w:t>Bộ trưởng Bộ Tài chính ban hành Thông tư quy định mức thu, chế độ thu, nộp, quản lý và sử dụng phí, lệ phí trong lĩnh vực chứng khoán.</w:t>
      </w:r>
    </w:p>
    <w:p>
      <w:pPr>
        <w:jc w:val="both"/>
      </w:pPr>
      <w:r>
        <w:rPr>
          <w:b/>
          <w:i w:val="0"/>
        </w:rPr>
        <w:t>Điều 1. Phạm vi điều chỉnh và đối tượng áp dụng</w:t>
      </w:r>
    </w:p>
    <w:p>
      <w:pPr>
        <w:jc w:val="both"/>
      </w:pPr>
      <w:r>
        <w:rPr>
          <w:b w:val="0"/>
          <w:i w:val="0"/>
        </w:rPr>
        <w:t>1. Thông tư quy định mức thu, chế độ thu, nộp, quản lý và sử dụng phí quản lý và giám sát hoạt động chứng khoán; lệ phí cấp giấy phép, giấy chứng nhận hoạt động trong lĩnh vực chứng khoán áp dụng tại Ủy ban Chứng khoán Nhà nước.</w:t>
      </w:r>
    </w:p>
    <w:p>
      <w:pPr>
        <w:jc w:val="both"/>
      </w:pPr>
      <w:r>
        <w:rPr>
          <w:b w:val="0"/>
          <w:i w:val="0"/>
        </w:rPr>
        <w:t>2. Thông tư này áp dụng đối với tổ chức, cá nhân nộp phí, lệ phí; tổ chức thu phí, lệ phí; các tổ chức, cá nhân khác liên quan đến thu, nộp phí, lệ phí trong lĩnh vực chứng khoán.</w:t>
      </w:r>
    </w:p>
    <w:p>
      <w:pPr>
        <w:jc w:val="both"/>
      </w:pPr>
      <w:r>
        <w:rPr>
          <w:b/>
          <w:i w:val="0"/>
        </w:rPr>
        <w:t>Điều 2. Tổ chức thu và người nộp phí, lệ phí</w:t>
      </w:r>
    </w:p>
    <w:p>
      <w:pPr>
        <w:jc w:val="both"/>
      </w:pPr>
      <w:r>
        <w:rPr>
          <w:b w:val="0"/>
          <w:i w:val="0"/>
        </w:rPr>
        <w:t>1. Tổ chức thu phí, lệ phí là Ủy ban Chứng khoán Nhà nước.</w:t>
      </w:r>
    </w:p>
    <w:p>
      <w:pPr>
        <w:jc w:val="both"/>
      </w:pPr>
      <w:r>
        <w:rPr>
          <w:b w:val="0"/>
          <w:i w:val="0"/>
        </w:rPr>
        <w:t>2. Người nộp phí, lệ phí là các tổ chức, cá nhân có các hoạt động trong lĩnh vực chứng khoán được quy định trong Biểu mức thu phí, lệ phí ban hành kèm theo Thông tư này.</w:t>
      </w:r>
    </w:p>
    <w:p>
      <w:pPr>
        <w:jc w:val="both"/>
      </w:pPr>
      <w:r>
        <w:rPr>
          <w:b/>
          <w:i w:val="0"/>
        </w:rPr>
        <w:t>Điều 3. Mức thu phí, lệ phí</w:t>
      </w:r>
    </w:p>
    <w:p>
      <w:pPr>
        <w:jc w:val="both"/>
      </w:pPr>
      <w:r>
        <w:rPr>
          <w:b w:val="0"/>
          <w:i w:val="0"/>
        </w:rPr>
        <w:t>Mức thu phí quản lý và giám sát hoạt động chứng khoán; lệ phí cấp giấy phép, giấy chứng nhận hoạt động trong lĩnh vực chứng khoán được quy định tại Biểu mức thu phí, lệ phí ban hành kèm theo Thông tư này.</w:t>
      </w:r>
    </w:p>
    <w:p>
      <w:pPr>
        <w:jc w:val="both"/>
      </w:pPr>
      <w:r>
        <w:rPr>
          <w:b/>
          <w:i w:val="0"/>
        </w:rPr>
        <w:t>Điều 4. Kê khai, thu, nộp phí, lệ phí của người nộp</w:t>
      </w:r>
    </w:p>
    <w:p>
      <w:pPr>
        <w:jc w:val="both"/>
      </w:pPr>
      <w:r>
        <w:rPr>
          <w:b w:val="0"/>
          <w:i w:val="0"/>
        </w:rPr>
        <w:t>1. Phí, lệ phí trong lĩnh vực chứng khoán thu bằng đồng Việt Nam.</w:t>
      </w:r>
    </w:p>
    <w:p>
      <w:pPr>
        <w:jc w:val="both"/>
      </w:pPr>
      <w:r>
        <w:rPr>
          <w:b w:val="0"/>
          <w:i w:val="0"/>
        </w:rPr>
        <w:t>2. Thu, nộp lệ phí: Người nộp lệ phí phải nộp toàn bộ số tiền lệ phí khi được cấp giấy phép, giấy chứng nhận hoạt động trong lĩnh vực chứng khoán cho Ủy ban Chứng khoán Nhà nước.</w:t>
      </w:r>
    </w:p>
    <w:p>
      <w:pPr>
        <w:jc w:val="both"/>
      </w:pPr>
      <w:r>
        <w:rPr>
          <w:b w:val="0"/>
          <w:i w:val="0"/>
        </w:rPr>
        <w:t>3. Thu, nộp phí giám sát hoạt động chứng khoán: Sở Giao dịch chứng khoán Hà Nội và Sở Giao dịch chứng khoán Thành phố Hồ Chí Minh (sau đây gọi tắt là Sở GDCK), Tổng công ty lưu ký và bù trừ chứng khoán Việt Nam (sau đây gọi tắt là VSDC), ngân hàng thanh toán nộp phí giám sát cho Ủy ban Chứng khoán Nhà nước hàng quý, thời gian nộp chậm nhất là ngày cuối cùng của tháng đầu tiên của quý tiếp theo.</w:t>
      </w:r>
    </w:p>
    <w:p>
      <w:pPr>
        <w:jc w:val="both"/>
      </w:pPr>
      <w:r>
        <w:rPr>
          <w:b w:val="0"/>
          <w:i w:val="0"/>
        </w:rPr>
        <w:t>4. Thu, nộp phí quản lý công ty đại chúng chưa niêm yết và chưa đăng ký giao dịch một lần khi được Ủy ban Chứng khoán Nhà nước cấp giấy xác nhận hoàn tất việc đăng ký công ty đại chúng.</w:t>
      </w:r>
    </w:p>
    <w:p>
      <w:pPr>
        <w:jc w:val="both"/>
      </w:pPr>
      <w:r>
        <w:rPr>
          <w:b w:val="0"/>
          <w:i w:val="0"/>
        </w:rPr>
        <w:t>5. Thu, nộp phí quản lý đối với quỹ mở</w:t>
      </w:r>
    </w:p>
    <w:p>
      <w:pPr>
        <w:jc w:val="both"/>
      </w:pPr>
      <w:r>
        <w:rPr>
          <w:b w:val="0"/>
          <w:i w:val="0"/>
        </w:rPr>
        <w:t>a) Trong vòng 30 ngày, kể từ ngày được cấp giấy chứng nhận đăng ký thành lập quỹ mở, công ty quản lý quỹ phải nộp phí quản lý như sau:</w:t>
      </w:r>
    </w:p>
    <w:p>
      <w:pPr>
        <w:jc w:val="both"/>
      </w:pPr>
      <w:r>
        <w:rPr>
          <w:b w:val="0"/>
          <w:i w:val="0"/>
        </w:rPr>
        <w:t>- Trường hợp được cấp giấy chứng nhận từ ngày 01 tháng 01 đến ngày 30 tháng 06 hàng năm, mức phí phải nộp là 10 triệu đồng/quỹ.</w:t>
      </w:r>
    </w:p>
    <w:p>
      <w:pPr>
        <w:jc w:val="both"/>
      </w:pPr>
      <w:r>
        <w:rPr>
          <w:b w:val="0"/>
          <w:i w:val="0"/>
        </w:rPr>
        <w:t>- Trường hợp được cấp giấy chứng nhận từ ngày 01 tháng 7 đến ngày 31 tháng 12 hàng năm, mức phí phải nộp là 5 triệu đồng/quỹ.</w:t>
      </w:r>
    </w:p>
    <w:p>
      <w:pPr>
        <w:jc w:val="both"/>
      </w:pPr>
      <w:r>
        <w:rPr>
          <w:b w:val="0"/>
          <w:i w:val="0"/>
        </w:rPr>
        <w:t>b) Các năm tiếp theo, công ty quản lý quỹ phải nộp phí là 10 triệu đồng/quỹ, thời gian nộp từ ngày 01 tháng 12 đến ngày 31 tháng 12 hàng năm.</w:t>
      </w:r>
    </w:p>
    <w:p>
      <w:pPr>
        <w:jc w:val="both"/>
      </w:pPr>
      <w:r>
        <w:rPr>
          <w:b/>
          <w:i w:val="0"/>
        </w:rPr>
        <w:t>Điều 5. Kê khai, nộp phí, lệ phí của tổ chức thu</w:t>
      </w:r>
    </w:p>
    <w:p>
      <w:pPr>
        <w:jc w:val="both"/>
      </w:pPr>
      <w:r>
        <w:rPr>
          <w:b w:val="0"/>
          <w:i w:val="0"/>
        </w:rPr>
        <w:t>1. Định kỳ chậm nhất là ngày thứ hai hàng tuần, tổ chức thu phí phải gửi số tiền phí đã thu được trong tuần trước vào tài khoản phí chờ nộp ngân sách mở tại Kho bạc Nhà nước.</w:t>
      </w:r>
    </w:p>
    <w:p>
      <w:pPr>
        <w:jc w:val="both"/>
      </w:pPr>
      <w:r>
        <w:rPr>
          <w:b w:val="0"/>
          <w:i w:val="0"/>
        </w:rPr>
        <w:t>2. Tổ chức thu phí, lệ phí thực hiện kê khai, nộp phí, lệ phí thu được theo tháng, quyết toán năm theo quy định tại Luật Quản lý thuế và Nghị định số 126/2020/NĐ-CP ngày 19 tháng 10 năm 2020 của Chính phủ quy định chi tiết một số điều của Luật Quản lý thuế. Tổ chức thu thực hiện nộp 30% số tiền phí thu được và 100% số tiền lệ phí thu được vào ngân sách nhà nước theo chương, tiểu mục của Mục lục ngân sách nhà nước.</w:t>
      </w:r>
    </w:p>
    <w:p>
      <w:pPr>
        <w:jc w:val="both"/>
      </w:pPr>
      <w:r>
        <w:rPr>
          <w:b/>
          <w:i w:val="0"/>
        </w:rPr>
        <w:t>Điều 6. Quản lý và sử dụng phí</w:t>
      </w:r>
    </w:p>
    <w:p>
      <w:pPr>
        <w:jc w:val="both"/>
      </w:pPr>
      <w:r>
        <w:rPr>
          <w:b w:val="0"/>
          <w:i w:val="0"/>
        </w:rPr>
        <w:t>Tổ chức thu phí được để lại 70% số tiền phí thu được, để sử dụng theo quy định tại Nghị định số 120/2016/NĐ-CP ngày 23 tháng 8 năm 2016 của Chính phủ quy định chi tiết và hướng dẫn thi hành một số điều của Luật Phí và lệ phí, Quyết định số 29/2009/QĐ-TTg ngày 20 tháng 02 năm 2009 của Thủ tướng Chính phủ về chế độ tự chủ về biên chế và kinh phí hoạt động của Ủy ban Chứng khoán Nhà nước và Thông tư số 104/2009/TT-BTC ngày 25 tháng 5 năm 2009 của Bộ trưởng Bộ Tài chính quy định thực hiện Quyết định số 29/2009/QĐ-TTg ngày 20 tháng 02 năm 2009 của Thủ tướng Chính phủ về việc ban hành chế độ tự chủ về biên chế và kinh phí hoạt động của Ủy ban Chứng khoán Nhà nước.</w:t>
      </w:r>
    </w:p>
    <w:p>
      <w:pPr>
        <w:jc w:val="both"/>
      </w:pPr>
      <w:r>
        <w:rPr>
          <w:b/>
          <w:i w:val="0"/>
        </w:rPr>
        <w:t>Điều 7. Hiệu lực thi hành</w:t>
      </w:r>
    </w:p>
    <w:p>
      <w:pPr>
        <w:jc w:val="both"/>
      </w:pPr>
      <w:r>
        <w:rPr>
          <w:b w:val="0"/>
          <w:i w:val="0"/>
        </w:rPr>
        <w:t>1. Thông tư này có hiệu lực thi hành kể từ ngày 01 tháng 7 năm 2022.</w:t>
      </w:r>
    </w:p>
    <w:p>
      <w:pPr>
        <w:jc w:val="both"/>
      </w:pPr>
      <w:r>
        <w:rPr>
          <w:b w:val="0"/>
          <w:i w:val="0"/>
        </w:rPr>
        <w:t>2. Bãi bỏ Thông tư số 272/2016/TT-BTC ngày 14 tháng 11 năm 2016 của Bộ trưởng Bộ Tài chính quy định mức thu, chế độ thu, nộp, quản lý và sử dụng phí, lệ phí trong lĩnh vực chứng khoán.</w:t>
      </w:r>
    </w:p>
    <w:p>
      <w:pPr>
        <w:jc w:val="both"/>
      </w:pPr>
      <w:r>
        <w:rPr>
          <w:b w:val="0"/>
          <w:i w:val="0"/>
        </w:rPr>
        <w:t>3. Tổ chức được Ủy ban Chứng khoán Nhà nước xác nhận hoàn tất việc đăng ký công ty đại chúng trước ngày Thông tư này có hiệu lực thi hành mà chưa niêm yết và chưa đăng ký giao dịch: Thực hiện nộp phí theo quy định tại Thông tư số 272/2016/TT-BTC đến hết tháng trước liền kề tháng Thông tư này có hiệu lực thi hành.</w:t>
      </w:r>
    </w:p>
    <w:p>
      <w:pPr>
        <w:jc w:val="both"/>
      </w:pPr>
      <w:r>
        <w:rPr>
          <w:b w:val="0"/>
          <w:i w:val="0"/>
        </w:rPr>
        <w:t>4. Các nội dung khác liên quan đến thu, nộp, quản lý, sử dụng, chứng từ thu, công khai chế độ thu phí, lệ phí trong lĩnh vực chứng khoán không quy định tại Thông tư này được thực hiện theo quy định tại Luật Phí và lệ phí; Nghị định số 120/2016/NĐ-CP; Luật Quản lý thuế; Nghị định số 126/2020/NĐ-CP; Nghị định số 11/2020/NĐ-CP ngày 20 tháng 01 năm 2020 của Chính phủ quy định về thủ tục hành chính thuộc lĩnh vực Kho bạc Nhà nước; Nghị định số 123/2020/NĐ-CP ngày 19 tháng 10 năm 2020 của Chính phủ quy định về hóa đơn, chứng từ; Thông tư số 78/2021/TT-BTC ngày 17 tháng 9 năm 2021 của Bộ trưởng Bộ Tài chính hướng dẫn thực hiện một số điều của Luật Quản lý thuế ngày 13 tháng 6 năm 2019, Nghị định số 123/2020/NĐ-CP ngày 19 tháng 10 năm 2020 của Chính phủ quy định về hóa đơn, chứng từ.</w:t>
      </w:r>
    </w:p>
    <w:p>
      <w:pPr>
        <w:jc w:val="both"/>
      </w:pPr>
      <w:r>
        <w:rPr>
          <w:b w:val="0"/>
          <w:i w:val="0"/>
        </w:rPr>
        <w:t>5. Trong thời gian VSDC chưa bắt đầu hoạt động theo quy định của Luật Chứng khoán số 54/2019/QH14, Trung tâm Lưu ký Chứng khoán Việt Nam nộp các loại phí giám sát áp dụng đối với VSDC theo quy định tại Thông tư này.</w:t>
      </w:r>
    </w:p>
    <w:p>
      <w:pPr>
        <w:jc w:val="both"/>
      </w:pPr>
      <w:r>
        <w:rPr>
          <w:b w:val="0"/>
          <w:i w:val="0"/>
        </w:rPr>
        <w:t>6. Trong quá trình thực hiện, nếu các văn bản liên quan viện dẫn tại Thông tư này được sửa đổi, bổ sung hoặc thay thế thì thực hiện theo văn bản mới được sửa đổi, bổ sung hoặc thay thế.</w:t>
      </w:r>
    </w:p>
    <w:p>
      <w:pPr>
        <w:jc w:val="both"/>
      </w:pPr>
      <w:r>
        <w:rPr>
          <w:b w:val="0"/>
          <w:i w:val="0"/>
        </w:rPr>
        <w:t>7. Trong quá trình thực hiện, nếu có vướng mắc đề nghị các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Trung ương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UBND các tỉnh, thành phố trực thuộc Trung ương;</w:t>
            </w:r>
            <w:r>
              <w:br/>
            </w:r>
            <w:r>
              <w:rPr>
                <w:b w:val="0"/>
                <w:i w:val="0"/>
              </w:rPr>
              <w:br/>
              <w:t xml:space="preserve">         - Sở Tài chính, Cục Thuế thành phố Hà Nội;</w:t>
            </w:r>
            <w:r>
              <w:br/>
            </w:r>
            <w:r>
              <w:rPr>
                <w:b w:val="0"/>
                <w:i w:val="0"/>
              </w:rPr>
              <w:br/>
              <w:t xml:space="preserve">         - Công báo;</w:t>
            </w:r>
            <w:r>
              <w:br/>
            </w:r>
            <w:r>
              <w:rPr>
                <w:b w:val="0"/>
                <w:i w:val="0"/>
              </w:rPr>
              <w:br/>
              <w:t xml:space="preserve">         - Cổng thông tin điện tử Chính phủ;</w:t>
            </w:r>
            <w:r>
              <w:br/>
            </w:r>
            <w:r>
              <w:rPr>
                <w:b w:val="0"/>
                <w:i w:val="0"/>
              </w:rPr>
              <w:br/>
              <w:t xml:space="preserve">         - Cục Kiểm tra văn bản quy phạm pháp luật (Bộ Tư pháp);</w:t>
            </w:r>
            <w:r>
              <w:br/>
            </w:r>
            <w:r>
              <w:rPr>
                <w:b w:val="0"/>
                <w:i w:val="0"/>
              </w:rPr>
              <w:br/>
              <w:t xml:space="preserve">         - Các đơn vị thuộc Bộ Tài chính;</w:t>
            </w:r>
            <w:r>
              <w:br/>
            </w:r>
            <w:r>
              <w:rPr>
                <w:b w:val="0"/>
                <w:i w:val="0"/>
              </w:rPr>
              <w:br/>
              <w:t xml:space="preserve">         - Cổng thông tin điện tử Bộ Tài chính;</w:t>
            </w:r>
            <w:r>
              <w:br/>
            </w:r>
            <w:r>
              <w:rPr>
                <w:b w:val="0"/>
                <w:i w:val="0"/>
              </w:rPr>
              <w:br/>
              <w:t xml:space="preserve">         - Lưu: VT, CST (CST5).</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Vũ Thị Mai</w:t>
            </w:r>
          </w:p>
        </w:tc>
      </w:tr>
    </w:tbl>
    <w:p>
      <w:r>
        <w:rPr>
          <w:b/>
          <w:i w:val="0"/>
        </w:rPr>
        <w:t>BIỂU MỨC THU PHÍ, LỆ PHÍ TRONG LĨNH VỰC CHỨNG KHOÁN</w:t>
      </w:r>
    </w:p>
    <w:p>
      <w:r>
        <w:rPr>
          <w:b w:val="0"/>
          <w:i/>
        </w:rPr>
        <w:t>(Ban hành kèm theo Thông tư số 25/2022/TT-BTC ngày 28 tháng 4 năm 2022 của Bộ trưởng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Tên phí, lệ phí</w:t>
            </w:r>
          </w:p>
        </w:tc>
        <w:tc>
          <w:tcPr>
            <w:tcW w:type="dxa" w:w="2880"/>
          </w:tcPr>
          <w:p>
            <w:r>
              <w:rPr>
                <w:b w:val="0"/>
                <w:i w:val="0"/>
              </w:rPr>
              <w:br/>
            </w:r>
            <w:r>
              <w:rPr>
                <w:b/>
                <w:i w:val="0"/>
              </w:rPr>
              <w:t>Mức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