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265/2006/QĐ-TTg Phê duyệt Điều lệ tổ chức và hoạt động của Tập đoàn Bưu chính Viễn thông Việt Nam</w:t>
      </w:r>
    </w:p>
    <w:p>
      <w:r>
        <w:rPr>
          <w:b w:val="0"/>
          <w:i w:val="0"/>
        </w:rPr>
        <w:br/>
      </w:r>
      <w:r>
        <w:rPr>
          <w:b w:val="0"/>
          <w:i w:val="0"/>
        </w:rPr>
        <w:br/>
      </w:r>
      <w:r>
        <w:rPr>
          <w:b w:val="0"/>
          <w:i w:val="0"/>
        </w:rPr>
        <w:br/>
      </w:r>
      <w:r>
        <w:rPr>
          <w:b w:val="0"/>
          <w:i w:val="0"/>
        </w:rPr>
        <w:br/>
      </w:r>
      <w:r>
        <w:rPr>
          <w:b w:val="0"/>
          <w:i w:val="0"/>
        </w:rPr>
        <w:br/>
      </w:r>
      <w:r>
        <w:rPr>
          <w:b/>
          <w:i w:val="0"/>
        </w:rPr>
        <w:t>THỦ TƯỚNG CHÍNH PHỦ</w:t>
      </w:r>
      <w:r>
        <w:br/>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265/2006/QĐ-TTg</w:t>
      </w:r>
      <w:r>
        <w:rPr>
          <w:b w:val="0"/>
          <w:i w:val="0"/>
        </w:rPr>
        <w:br/>
      </w:r>
      <w:r>
        <w:rPr>
          <w:b w:val="0"/>
          <w:i w:val="0"/>
        </w:rPr>
        <w:br/>
      </w:r>
      <w:r>
        <w:rPr>
          <w:b w:val="0"/>
          <w:i/>
        </w:rPr>
        <w:t>Hà Nội, ngày 17 tháng 11 năm 2006</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Phê duyệt Điều lệ tổ chức và hoạt động </w:t>
      </w:r>
      <w:r>
        <w:rPr>
          <w:b w:val="0"/>
          <w:i w:val="0"/>
        </w:rPr>
        <w:br/>
      </w:r>
      <w:r>
        <w:rPr>
          <w:b/>
          <w:i w:val="0"/>
        </w:rPr>
        <w:t>của Tập đoàn Bưu chính Viễn thông Việt Nam</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Căn cứ Luật Doanh nghiệp nhà nư­­ớc ngày 26 tháng 11 năm 2003;</w:t>
      </w:r>
      <w:r>
        <w:rPr>
          <w:b w:val="0"/>
          <w:i w:val="0"/>
        </w:rPr>
        <w:br/>
      </w:r>
      <w:r>
        <w:rPr>
          <w:b w:val="0"/>
          <w:i/>
        </w:rPr>
        <w:t>Căn cứ Luật Doanh nghiệp ngày 29 tháng 11 năm 2005;</w:t>
      </w:r>
      <w:r>
        <w:rPr>
          <w:b w:val="0"/>
          <w:i w:val="0"/>
        </w:rPr>
        <w:br/>
      </w:r>
      <w:r>
        <w:rPr>
          <w:b w:val="0"/>
          <w:i/>
        </w:rPr>
        <w:t>Căn cứ Nghị định số 153/2004/NĐ-CP ngày 09 tháng 8 năm 2004 của Chính phủ về tổ chức, quản lý tổng công ty nhà nước và chuyển đổi tổng công ty nhà nước, công ty nhà nước độc lập theo mô hình công ty mẹ - công ty con;</w:t>
      </w:r>
      <w:r>
        <w:rPr>
          <w:b w:val="0"/>
          <w:i w:val="0"/>
        </w:rPr>
        <w:br/>
      </w:r>
      <w:r>
        <w:rPr>
          <w:b w:val="0"/>
          <w:i/>
        </w:rPr>
        <w:t>Căn cứ Nghị định số 132/2005/NĐ-CP ngày 20 tháng 10 năm 2005 của Chính phủ về thực hiện các quyền và nghĩa vụ của chủ sở hữu nhà nước đối với công ty nhà nước và Nghị định số 86/2006/NĐ-CP ngày 21 tháng 8 năm 2006 của Chính phủ về sửa đổi, bổ sung một số điều của Nghị định số 132/2005/NĐ-CP;</w:t>
      </w:r>
      <w:r>
        <w:rPr>
          <w:b w:val="0"/>
          <w:i w:val="0"/>
        </w:rPr>
        <w:br/>
      </w:r>
      <w:r>
        <w:rPr>
          <w:b w:val="0"/>
          <w:i/>
        </w:rPr>
        <w:t>Xét đề nghị của Hội đồng quản trị Tập đoàn Bưu chính Viễn thông Việt Nam</w:t>
      </w:r>
      <w:r>
        <w:rPr>
          <w:b w:val="0"/>
          <w:i w:val="0"/>
        </w:rPr>
        <w:t>.</w:t>
      </w:r>
      <w:r>
        <w:rPr>
          <w:b w:val="0"/>
          <w:i w:val="0"/>
        </w:rPr>
        <w:br/>
      </w:r>
      <w:r>
        <w:rPr>
          <w:b/>
          <w:i w:val="0"/>
        </w:rPr>
        <w:t>QUYẾT ĐỊNH</w:t>
      </w:r>
      <w:r>
        <w:rPr>
          <w:b w:val="0"/>
          <w:i w:val="0"/>
        </w:rPr>
        <w:br/>
      </w:r>
      <w:r>
        <w:rPr>
          <w:b/>
          <w:i w:val="0"/>
        </w:rPr>
        <w:t>Điều 1. Phê duyệt Điều lệ tổ chức và hoạt động của Tập đoàn Bưu chính Viễn thông Việt Nam.</w:t>
      </w:r>
      <w:r>
        <w:rPr>
          <w:b w:val="0"/>
          <w:i w:val="0"/>
        </w:rPr>
        <w:br/>
      </w:r>
      <w:r>
        <w:rPr>
          <w:b/>
          <w:i w:val="0"/>
        </w:rPr>
        <w:t>Điều 2</w:t>
      </w:r>
      <w:r>
        <w:rPr>
          <w:b w:val="0"/>
          <w:i w:val="0"/>
        </w:rPr>
        <w:t>. Những nội dung trong Điều lệ khác với quy định tại Quyết định số 58/2005/QĐ-TTg ngày 23 tháng 3 năm 2005 của Thủ tướng Chính phủ về việc phê duyệt Đề án thí điểm hình thành Tập đoàn Bưu chính Viễn thông Việt Nam và Quyết định số 06/2006/QĐ-TTg ngày 09 tháng 01 năm 2006 của Thủ tướng Chính phủ về việc thành lập Công ty mẹ - Tập đoàn Bưu chính Viễn thông Việt Nam thì thực hiện theo Điều lệ ban hành kèm theo Quyết định này.</w:t>
      </w:r>
      <w:r>
        <w:rPr>
          <w:b w:val="0"/>
          <w:i w:val="0"/>
        </w:rPr>
        <w:br/>
      </w:r>
      <w:r>
        <w:rPr>
          <w:b/>
          <w:i w:val="0"/>
        </w:rPr>
        <w:t>Điều 3</w:t>
      </w:r>
      <w:r>
        <w:rPr>
          <w:b w:val="0"/>
          <w:i w:val="0"/>
        </w:rPr>
        <w:t>. Quyết định này có hiệu lực thi hành sau 15 ngày, kể từ ngày đăng Công báo.</w:t>
      </w:r>
      <w:r>
        <w:rPr>
          <w:b w:val="0"/>
          <w:i w:val="0"/>
        </w:rPr>
        <w:br/>
      </w:r>
      <w:r>
        <w:rPr>
          <w:b/>
          <w:i w:val="0"/>
        </w:rPr>
        <w:t>Điều 4</w:t>
      </w:r>
      <w:r>
        <w:rPr>
          <w:b w:val="0"/>
          <w:i w:val="0"/>
        </w:rPr>
        <w:t>. Các Bộ trưởng, Thủ trưởng cơ quan ngang Bộ, Thủ trưởng cơ quan thuộc Chính phủ, Chủ tịch Ủy ban nhân dân các tỉnh, thành phố trực thuộc Trung ương và Hội đồng quản trị Tập đoàn Bưu chính Viễn thông Việt Nam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 :</w:t>
      </w:r>
      <w:r>
        <w:rPr>
          <w:b/>
          <w:i w:val="0"/>
        </w:rPr>
        <w:t xml:space="preserve"> </w:t>
      </w:r>
      <w:r>
        <w:br/>
      </w:r>
      <w:r>
        <w:rPr>
          <w:b w:val="0"/>
          <w:i w:val="0"/>
        </w:rPr>
        <w:t>- Ban Bí thư Trung ương Đảng ;</w:t>
      </w:r>
      <w:r>
        <w:br/>
      </w:r>
      <w:r>
        <w:rPr>
          <w:b w:val="0"/>
          <w:i w:val="0"/>
        </w:rPr>
        <w:t>- Thủ t­ướng, các Phó Thủ tướng Chính phủ;</w:t>
      </w:r>
      <w:r>
        <w:br/>
      </w:r>
      <w:r>
        <w:rPr>
          <w:b w:val="0"/>
          <w:i w:val="0"/>
        </w:rPr>
        <w:t>- Các Bộ, cơ quan ngang Bộ,</w:t>
      </w:r>
      <w:r>
        <w:br/>
      </w:r>
      <w:r>
        <w:rPr>
          <w:b w:val="0"/>
          <w:i w:val="0"/>
        </w:rPr>
        <w:t>cơ quan thuộc Chính phủ;</w:t>
      </w:r>
      <w:r>
        <w:br/>
      </w:r>
      <w:r>
        <w:rPr>
          <w:b w:val="0"/>
          <w:i w:val="0"/>
        </w:rPr>
        <w:t>- VP BCĐ TW về phòng, chống tham nhũng;</w:t>
      </w:r>
      <w:r>
        <w:br/>
      </w:r>
      <w:r>
        <w:rPr>
          <w:b w:val="0"/>
          <w:i w:val="0"/>
        </w:rPr>
        <w:t xml:space="preserve">- HĐND, UBND các tỉnh, thành phố </w:t>
      </w:r>
      <w:r>
        <w:br/>
      </w:r>
      <w:r>
        <w:rPr>
          <w:b w:val="0"/>
          <w:i w:val="0"/>
        </w:rPr>
        <w:t>trực thuộc Trung ương;</w:t>
      </w:r>
      <w:r>
        <w:br/>
      </w:r>
      <w:r>
        <w:rPr>
          <w:b w:val="0"/>
          <w:i w:val="0"/>
        </w:rPr>
        <w:t xml:space="preserve">- Văn phòng Trung ương và các Ban của Đảng; </w:t>
      </w:r>
      <w:r>
        <w:br/>
      </w:r>
      <w:r>
        <w:rPr>
          <w:b w:val="0"/>
          <w:i w:val="0"/>
        </w:rPr>
        <w:t>- Văn phòng Chủ tịch nước;</w:t>
      </w:r>
      <w:r>
        <w:br/>
      </w:r>
      <w:r>
        <w:rPr>
          <w:b w:val="0"/>
          <w:i w:val="0"/>
        </w:rPr>
        <w:t xml:space="preserve">- Hội đồng dân tộc và các Ủy ban của Quốc hội ; </w:t>
      </w:r>
      <w:r>
        <w:br/>
      </w:r>
      <w:r>
        <w:rPr>
          <w:b w:val="0"/>
          <w:i w:val="0"/>
        </w:rPr>
        <w:t xml:space="preserve">- Văn phòng Quốc hội; </w:t>
      </w:r>
      <w:r>
        <w:br/>
      </w:r>
      <w:r>
        <w:rPr>
          <w:b w:val="0"/>
          <w:i w:val="0"/>
        </w:rPr>
        <w:t>- Toà án nhân dân tối cao;</w:t>
      </w:r>
      <w:r>
        <w:br/>
      </w:r>
      <w:r>
        <w:rPr>
          <w:b w:val="0"/>
          <w:i w:val="0"/>
        </w:rPr>
        <w:t>- Viện Kiểm sát nhân dân tối cao;</w:t>
      </w:r>
      <w:r>
        <w:br/>
      </w:r>
      <w:r>
        <w:rPr>
          <w:b w:val="0"/>
          <w:i w:val="0"/>
        </w:rPr>
        <w:t>- Kiểm toán Nhà nước;</w:t>
      </w:r>
      <w:r>
        <w:br/>
      </w:r>
      <w:r>
        <w:rPr>
          <w:b w:val="0"/>
          <w:i w:val="0"/>
        </w:rPr>
        <w:t>- BQL Khu kinh tế cửa khẩu quốc tế Bờ Y;</w:t>
      </w:r>
      <w:r>
        <w:br/>
      </w:r>
      <w:r>
        <w:rPr>
          <w:b w:val="0"/>
          <w:i w:val="0"/>
        </w:rPr>
        <w:t>- Cơ quan Trưng ương của các đoàn thể ;</w:t>
      </w:r>
      <w:r>
        <w:br/>
      </w:r>
      <w:r>
        <w:rPr>
          <w:b w:val="0"/>
          <w:i w:val="0"/>
        </w:rPr>
        <w:t xml:space="preserve">- Học viện Hành chính Quốc gia; </w:t>
      </w:r>
      <w:r>
        <w:br/>
      </w:r>
      <w:r>
        <w:rPr>
          <w:b w:val="0"/>
          <w:i w:val="0"/>
        </w:rPr>
        <w:t>- Tập đoàn Bưu chính Viễn thông Việt Nam;</w:t>
      </w:r>
      <w:r>
        <w:br/>
      </w:r>
      <w:r>
        <w:rPr>
          <w:b w:val="0"/>
          <w:i w:val="0"/>
        </w:rPr>
        <w:t xml:space="preserve">- Ban Chỉ đạo Đổi mới và Phát triển DN; </w:t>
      </w:r>
      <w:r>
        <w:br/>
      </w:r>
      <w:r>
        <w:rPr>
          <w:b w:val="0"/>
          <w:i w:val="0"/>
        </w:rPr>
        <w:t xml:space="preserve">- VPCP: BTCN, các PCN, </w:t>
      </w:r>
      <w:r>
        <w:br/>
      </w:r>
      <w:r>
        <w:rPr>
          <w:b w:val="0"/>
          <w:i w:val="0"/>
        </w:rPr>
        <w:t xml:space="preserve">Website Chính phủ, Ban Điều hành 112, </w:t>
      </w:r>
      <w:r>
        <w:br/>
      </w:r>
      <w:r>
        <w:rPr>
          <w:b w:val="0"/>
          <w:i w:val="0"/>
        </w:rPr>
        <w:t xml:space="preserve">Người phát ngôn của Thủ tướng Chính phủ, </w:t>
      </w:r>
      <w:r>
        <w:br/>
      </w:r>
      <w:r>
        <w:rPr>
          <w:b w:val="0"/>
          <w:i w:val="0"/>
        </w:rPr>
        <w:t>các Vụ, Cục, đơn vị trực thuộc, Công báo;</w:t>
      </w:r>
      <w:r>
        <w:br/>
      </w:r>
      <w:r>
        <w:rPr>
          <w:b w:val="0"/>
          <w:i w:val="0"/>
        </w:rPr>
        <w:t>- Lưu: Văn thư, ĐMDN (5b).</w:t>
      </w:r>
      <w:r>
        <w:rPr>
          <w:b w:val="0"/>
          <w:i w:val="0"/>
        </w:rPr>
        <w:br/>
      </w:r>
      <w:r>
        <w:rPr>
          <w:b w:val="0"/>
          <w:i w:val="0"/>
        </w:rPr>
        <w:br/>
      </w:r>
      <w:r>
        <w:rPr>
          <w:b/>
          <w:i w:val="0"/>
        </w:rPr>
        <w:t>THỦ TƯỚNG</w:t>
      </w:r>
      <w:r>
        <w:br/>
      </w:r>
      <w:r>
        <w:br/>
      </w:r>
      <w:r>
        <w:rPr>
          <w:b/>
          <w:i/>
        </w:rPr>
        <w:t>(Đã ký)</w:t>
      </w:r>
      <w:r>
        <w:br/>
      </w:r>
      <w:r>
        <w:br/>
      </w:r>
      <w:r>
        <w:rPr>
          <w:b/>
          <w:i w:val="0"/>
        </w:rPr>
        <w:br/>
        <w:t xml:space="preserve">           Nguyễn Tấn Dũng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 :</w:t>
            </w:r>
            <w:r>
              <w:rPr>
                <w:b/>
                <w:i w:val="0"/>
              </w:rPr>
              <w:t xml:space="preserve"> </w:t>
            </w:r>
            <w:r>
              <w:br/>
            </w:r>
            <w:r>
              <w:rPr>
                <w:b w:val="0"/>
                <w:i w:val="0"/>
              </w:rPr>
              <w:t>- Ban Bí thư Trung ương Đảng ;</w:t>
            </w:r>
            <w:r>
              <w:br/>
            </w:r>
            <w:r>
              <w:rPr>
                <w:b w:val="0"/>
                <w:i w:val="0"/>
              </w:rPr>
              <w:t>- Thủ t­ướng, các Phó Thủ tướng Chính phủ;</w:t>
            </w:r>
            <w:r>
              <w:br/>
            </w:r>
            <w:r>
              <w:rPr>
                <w:b w:val="0"/>
                <w:i w:val="0"/>
              </w:rPr>
              <w:t>- Các Bộ, cơ quan ngang Bộ,</w:t>
            </w:r>
            <w:r>
              <w:br/>
            </w:r>
            <w:r>
              <w:rPr>
                <w:b w:val="0"/>
                <w:i w:val="0"/>
              </w:rPr>
              <w:t>cơ quan thuộc Chính phủ;</w:t>
            </w:r>
            <w:r>
              <w:br/>
            </w:r>
            <w:r>
              <w:rPr>
                <w:b w:val="0"/>
                <w:i w:val="0"/>
              </w:rPr>
              <w:t>- VP BCĐ TW về phòng, chống tham nhũng;</w:t>
            </w:r>
            <w:r>
              <w:br/>
            </w:r>
            <w:r>
              <w:rPr>
                <w:b w:val="0"/>
                <w:i w:val="0"/>
              </w:rPr>
              <w:t xml:space="preserve">- HĐND, UBND các tỉnh, thành phố </w:t>
            </w:r>
            <w:r>
              <w:br/>
            </w:r>
            <w:r>
              <w:rPr>
                <w:b w:val="0"/>
                <w:i w:val="0"/>
              </w:rPr>
              <w:t>trực thuộc Trung ương;</w:t>
            </w:r>
            <w:r>
              <w:br/>
            </w:r>
            <w:r>
              <w:rPr>
                <w:b w:val="0"/>
                <w:i w:val="0"/>
              </w:rPr>
              <w:t xml:space="preserve">- Văn phòng Trung ương và các Ban của Đảng; </w:t>
            </w:r>
            <w:r>
              <w:br/>
            </w:r>
            <w:r>
              <w:rPr>
                <w:b w:val="0"/>
                <w:i w:val="0"/>
              </w:rPr>
              <w:t>- Văn phòng Chủ tịch nước;</w:t>
            </w:r>
            <w:r>
              <w:br/>
            </w:r>
            <w:r>
              <w:rPr>
                <w:b w:val="0"/>
                <w:i w:val="0"/>
              </w:rPr>
              <w:t xml:space="preserve">- Hội đồng dân tộc và các Ủy ban của Quốc hội ; </w:t>
            </w:r>
            <w:r>
              <w:br/>
            </w:r>
            <w:r>
              <w:rPr>
                <w:b w:val="0"/>
                <w:i w:val="0"/>
              </w:rPr>
              <w:t xml:space="preserve">- Văn phòng Quốc hội; </w:t>
            </w:r>
            <w:r>
              <w:br/>
            </w:r>
            <w:r>
              <w:rPr>
                <w:b w:val="0"/>
                <w:i w:val="0"/>
              </w:rPr>
              <w:t>- Toà án nhân dân tối cao;</w:t>
            </w:r>
            <w:r>
              <w:br/>
            </w:r>
            <w:r>
              <w:rPr>
                <w:b w:val="0"/>
                <w:i w:val="0"/>
              </w:rPr>
              <w:t>- Viện Kiểm sát nhân dân tối cao;</w:t>
            </w:r>
            <w:r>
              <w:br/>
            </w:r>
            <w:r>
              <w:rPr>
                <w:b w:val="0"/>
                <w:i w:val="0"/>
              </w:rPr>
              <w:t>- Kiểm toán Nhà nước;</w:t>
            </w:r>
            <w:r>
              <w:br/>
            </w:r>
            <w:r>
              <w:rPr>
                <w:b w:val="0"/>
                <w:i w:val="0"/>
              </w:rPr>
              <w:t>- BQL Khu kinh tế cửa khẩu quốc tế Bờ Y;</w:t>
            </w:r>
            <w:r>
              <w:br/>
            </w:r>
            <w:r>
              <w:rPr>
                <w:b w:val="0"/>
                <w:i w:val="0"/>
              </w:rPr>
              <w:t>- Cơ quan Trưng ương của các đoàn thể ;</w:t>
            </w:r>
            <w:r>
              <w:br/>
            </w:r>
            <w:r>
              <w:rPr>
                <w:b w:val="0"/>
                <w:i w:val="0"/>
              </w:rPr>
              <w:t xml:space="preserve">- Học viện Hành chính Quốc gia; </w:t>
            </w:r>
            <w:r>
              <w:br/>
            </w:r>
            <w:r>
              <w:rPr>
                <w:b w:val="0"/>
                <w:i w:val="0"/>
              </w:rPr>
              <w:t>- Tập đoàn Bưu chính Viễn thông Việt Nam;</w:t>
            </w:r>
            <w:r>
              <w:br/>
            </w:r>
            <w:r>
              <w:rPr>
                <w:b w:val="0"/>
                <w:i w:val="0"/>
              </w:rPr>
              <w:t xml:space="preserve">- Ban Chỉ đạo Đổi mới và Phát triển DN; </w:t>
            </w:r>
            <w:r>
              <w:br/>
            </w:r>
            <w:r>
              <w:rPr>
                <w:b w:val="0"/>
                <w:i w:val="0"/>
              </w:rPr>
              <w:t xml:space="preserve">- VPCP: BTCN, các PCN, </w:t>
            </w:r>
            <w:r>
              <w:br/>
            </w:r>
            <w:r>
              <w:rPr>
                <w:b w:val="0"/>
                <w:i w:val="0"/>
              </w:rPr>
              <w:t xml:space="preserve">Website Chính phủ, Ban Điều hành 112, </w:t>
            </w:r>
            <w:r>
              <w:br/>
            </w:r>
            <w:r>
              <w:rPr>
                <w:b w:val="0"/>
                <w:i w:val="0"/>
              </w:rPr>
              <w:t xml:space="preserve">Người phát ngôn của Thủ tướng Chính phủ, </w:t>
            </w:r>
            <w:r>
              <w:br/>
            </w:r>
            <w:r>
              <w:rPr>
                <w:b w:val="0"/>
                <w:i w:val="0"/>
              </w:rPr>
              <w:t>các Vụ, Cục, đơn vị trực thuộc, Công báo;</w:t>
            </w:r>
            <w:r>
              <w:br/>
            </w:r>
            <w:r>
              <w:rPr>
                <w:b w:val="0"/>
                <w:i w:val="0"/>
              </w:rPr>
              <w:t>- Lưu: Văn thư, ĐMDN (5b).</w:t>
            </w:r>
          </w:p>
        </w:tc>
        <w:tc>
          <w:tcPr>
            <w:tcW w:type="dxa" w:w="4320"/>
          </w:tcPr>
          <w:p>
            <w:r>
              <w:rPr>
                <w:b w:val="0"/>
                <w:i w:val="0"/>
              </w:rPr>
              <w:br/>
            </w:r>
            <w:r>
              <w:rPr>
                <w:b/>
                <w:i w:val="0"/>
              </w:rPr>
              <w:t>THỦ TƯỚNG</w:t>
            </w:r>
            <w:r>
              <w:br/>
            </w:r>
            <w:r>
              <w:br/>
            </w:r>
            <w:r>
              <w:rPr>
                <w:b/>
                <w:i/>
              </w:rPr>
              <w:t>(Đã ký)</w:t>
            </w:r>
            <w:r>
              <w:br/>
            </w:r>
            <w:r>
              <w:br/>
            </w:r>
            <w:r>
              <w:rPr>
                <w:b/>
                <w:i w:val="0"/>
              </w:rPr>
              <w:br/>
              <w:t xml:space="preserve">           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