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26/2009/QĐ-UBND Về việc sửa đổi, bổ sung Quyết định số 60/2007/QĐ-UBND ngày 04/5/2007 của UBND tỉnh Nghệ An về giao đất có thu tiền sử dụng đất, cho thuê đất vào mục đích sản xuất kinh doanh và sản xuất kinh doanh kết hợp nhà ở để bán hoặc cho thuê tại các vị trí có giá trị "sinh lợi" trên địa bàn tỉnh Nghệ An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26/2009/QĐ-UBND</w:t>
      </w:r>
      <w:r>
        <w:rPr>
          <w:b w:val="0"/>
          <w:i w:val="0"/>
        </w:rPr>
        <w:br/>
      </w:r>
      <w:r>
        <w:rPr>
          <w:b w:val="0"/>
          <w:i w:val="0"/>
        </w:rPr>
        <w:br/>
      </w:r>
      <w:r>
        <w:rPr>
          <w:b w:val="0"/>
          <w:i/>
        </w:rPr>
        <w:br/>
      </w:r>
      <w:r>
        <w:rPr>
          <w:b w:val="0"/>
          <w:i/>
        </w:rPr>
        <w:t>Vinh</w:t>
      </w:r>
      <w:r>
        <w:rPr>
          <w:b w:val="0"/>
          <w:i/>
        </w:rPr>
        <w:t>, ngày 20 tháng 2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26/2009/QĐ-UBND</w:t>
      </w:r>
      <w:r>
        <w:rPr>
          <w:b w:val="0"/>
          <w:i w:val="0"/>
        </w:rPr>
        <w:br/>
      </w:r>
      <w:r>
        <w:rPr>
          <w:b w:val="0"/>
          <w:i w:val="0"/>
        </w:rPr>
        <w:br/>
      </w:r>
      <w:r>
        <w:rPr>
          <w:b w:val="0"/>
          <w:i/>
        </w:rPr>
        <w:br/>
      </w:r>
      <w:r>
        <w:rPr>
          <w:b w:val="0"/>
          <w:i/>
        </w:rPr>
        <w:t>Vinh</w:t>
      </w:r>
      <w:r>
        <w:rPr>
          <w:b w:val="0"/>
          <w:i/>
        </w:rPr>
        <w:t>, ngày 20 tháng 2 năm 2009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NGHỆ AN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26/2009/QĐ-UBND</w:t>
      </w:r>
      <w:r>
        <w:rPr>
          <w:b w:val="0"/>
          <w:i w:val="0"/>
        </w:rPr>
        <w:br/>
      </w:r>
      <w:r>
        <w:rPr>
          <w:b w:val="0"/>
          <w:i w:val="0"/>
        </w:rPr>
        <w:br/>
      </w:r>
      <w:r>
        <w:rPr>
          <w:b w:val="0"/>
          <w:i/>
        </w:rPr>
        <w:br/>
      </w:r>
      <w:r>
        <w:rPr>
          <w:b w:val="0"/>
          <w:i/>
        </w:rPr>
        <w:t>Vinh</w:t>
      </w:r>
      <w:r>
        <w:rPr>
          <w:b w:val="0"/>
          <w:i/>
        </w:rPr>
        <w:t>, ngày 20 tháng 2 năm 2009</w:t>
      </w:r>
      <w:r>
        <w:rPr>
          <w:b w:val="0"/>
          <w:i/>
        </w:rPr>
        <w:br/>
      </w:r>
      <w:r>
        <w:rPr>
          <w:b w:val="0"/>
          <w:i w:val="0"/>
        </w:rPr>
        <w:br/>
      </w:r>
    </w:p>
    <w:p>
      <w:pPr>
        <w:jc w:val="center"/>
      </w:pPr>
      <w:r>
        <w:rPr>
          <w:b w:val="0"/>
          <w:i w:val="0"/>
        </w:rPr>
        <w:br/>
      </w:r>
      <w:r>
        <w:rPr>
          <w:b w:val="0"/>
          <w:i w:val="0"/>
        </w:rPr>
        <w:t>Số: 26/2009/QĐ-UBND</w:t>
      </w:r>
      <w:r>
        <w:rPr>
          <w:b w:val="0"/>
          <w:i w:val="0"/>
        </w:rPr>
        <w:br/>
      </w:r>
    </w:p>
    <w:p>
      <w:pPr>
        <w:jc w:val="center"/>
      </w:pPr>
      <w:r>
        <w:rPr>
          <w:b w:val="0"/>
          <w:i w:val="0"/>
        </w:rPr>
        <w:br/>
      </w:r>
      <w:r>
        <w:rPr>
          <w:b w:val="0"/>
          <w:i/>
        </w:rPr>
        <w:t>Vinh</w:t>
      </w:r>
      <w:r>
        <w:rPr>
          <w:b w:val="0"/>
          <w:i w:val="0"/>
        </w:rPr>
        <w:t>, ngày 20 tháng 2 năm 2009</w:t>
      </w:r>
      <w:r>
        <w:rPr>
          <w:b w:val="0"/>
          <w:i w:val="0"/>
        </w:rPr>
        <w:br/>
      </w:r>
    </w:p>
    <w:p>
      <w:r>
        <w:rPr>
          <w:b/>
          <w:i w:val="0"/>
        </w:rPr>
        <w:t>QUYẾT ĐỊNH</w:t>
      </w:r>
    </w:p>
    <w:p>
      <w:r>
        <w:rPr>
          <w:b/>
          <w:i w:val="0"/>
        </w:rPr>
        <w:t xml:space="preserve">Về việc sửa đổi, bổ sung Quyết định số 60/2007/QĐ-UBND ngày 04/5/2007 </w:t>
      </w:r>
    </w:p>
    <w:p>
      <w:r>
        <w:rPr>
          <w:b/>
          <w:i w:val="0"/>
        </w:rPr>
        <w:t xml:space="preserve">của UBND tỉnh Nghệ An về giao đất có thu tiền sử dụng đất, cho thuê đất </w:t>
      </w:r>
    </w:p>
    <w:p>
      <w:r>
        <w:rPr>
          <w:b/>
          <w:i w:val="0"/>
        </w:rPr>
        <w:t xml:space="preserve">vào mục đích sản xuất kinh doanh và sản xuất kinh doanh kết hợp nhà ở để </w:t>
      </w:r>
    </w:p>
    <w:p>
      <w:r>
        <w:rPr>
          <w:b/>
          <w:i w:val="0"/>
        </w:rPr>
        <w:t>bán hoặc cho thuê tại các vị trí có giá trị "sinh lợi" trên địa bàn tỉnh Nghệ An</w:t>
      </w:r>
    </w:p>
    <w:p>
      <w:r>
        <w:rPr>
          <w:b/>
          <w:i w:val="0"/>
        </w:rPr>
        <w:t>___________________________</w:t>
      </w:r>
    </w:p>
    <w:p>
      <w:r>
        <w:rPr>
          <w:b/>
          <w:i w:val="0"/>
        </w:rPr>
        <w:t>UỶ BAN NHÂN DÂN TỈNH NGHỆ AN</w:t>
      </w:r>
    </w:p>
    <w:p>
      <w:r>
        <w:rPr>
          <w:b w:val="0"/>
          <w:i/>
        </w:rPr>
        <w:t>Căn cứ Luật Tổ chức HĐND và UBND ngày 26 tháng 11 năm 2003;</w:t>
      </w:r>
    </w:p>
    <w:p>
      <w:r>
        <w:rPr>
          <w:b w:val="0"/>
          <w:i/>
        </w:rPr>
        <w:t xml:space="preserve">Căn cứ Luật Đất đai ngày 26 tháng 11 năm 2003; </w:t>
      </w:r>
    </w:p>
    <w:p>
      <w:r>
        <w:rPr>
          <w:b w:val="0"/>
          <w:i/>
        </w:rPr>
        <w:t>Căn cứ Nghị định số 181/2004/NĐ-CP ngày 29/10/2004 của Chính phủ về thi hành Luật Đất đai;</w:t>
      </w:r>
    </w:p>
    <w:p>
      <w:r>
        <w:rPr>
          <w:b w:val="0"/>
          <w:i/>
        </w:rPr>
        <w:t>Căn cứ Nghị định số 17/2006/NĐ-CP ngày 27/01/2006 về sửa đổi, bổ sung một số điều của các Nghị định hướng dẫn thi hành Luật Đất đai và Nghị định số 187/2004/NĐ-CP về chuyển công ty Nhà nước thành công ty cổ phần;</w:t>
      </w:r>
    </w:p>
    <w:p>
      <w:r>
        <w:rPr>
          <w:b w:val="0"/>
          <w:i/>
        </w:rPr>
        <w:t xml:space="preserve">Xét đề nghị của Giám đốc Sở Tài chính tỉnh Nghệ An, </w:t>
      </w:r>
    </w:p>
    <w:p>
      <w:r>
        <w:rPr>
          <w:b/>
          <w:i w:val="0"/>
        </w:rPr>
        <w:t>QUYẾT ĐỊNH:</w:t>
      </w:r>
    </w:p>
    <w:p>
      <w:r>
        <w:rPr>
          <w:b/>
          <w:i w:val="0"/>
        </w:rPr>
        <w:t xml:space="preserve">Điều 1. </w:t>
      </w:r>
      <w:r>
        <w:rPr>
          <w:b w:val="0"/>
          <w:i w:val="0"/>
        </w:rPr>
        <w:t>Sửa đổi, bổ sung Quy định ban hành kèm theo Quyết định số 60/2007/QĐ-UBND ngày 04/5/2007 của UBND tỉnh Nghệ An ban hành Quy định về giao đất có thu tiền sử dụng đất, cho thuê đất vào mục đích sản xuất kinh doanh và sản xuất kinh doanh kết hợp nhà ở để bán hoặc cho thuê tại các vị trí có giá trị "sinh lợi" trên địa bàn tỉnh Nghệ An như sau:</w:t>
      </w:r>
    </w:p>
    <w:p>
      <w:r>
        <w:rPr>
          <w:b/>
          <w:i w:val="0"/>
        </w:rPr>
        <w:t>1. Sửa đổi khoản 2 Điều 1 như sau:</w:t>
      </w:r>
    </w:p>
    <w:p>
      <w:r>
        <w:rPr>
          <w:b w:val="0"/>
          <w:i w:val="0"/>
        </w:rPr>
        <w:t xml:space="preserve">"2. Vị trí "sinh lợi" được xác định tại quy định này là: </w:t>
      </w:r>
    </w:p>
    <w:p>
      <w:r>
        <w:rPr>
          <w:b w:val="0"/>
          <w:i w:val="0"/>
        </w:rPr>
        <w:t xml:space="preserve">- Những vị trí có lợi thế lớn trong sản xuất, kinh doanh, dịch vụ tiếp giáp với các khu vực: Trung tâm thương mại, chợ loại 1, nhà ga xe lửa loại 1, bến xe loại 1, cảng biển loại 1, cảng thủy nội địa cấp 1; </w:t>
      </w:r>
    </w:p>
    <w:p>
      <w:r>
        <w:rPr>
          <w:b w:val="0"/>
          <w:i w:val="0"/>
        </w:rPr>
        <w:t>- Những vị trí tiếp giáp ít nhất hai mặt đường (ngã ba, ngã tư,…) của các tuyến đường có chỉ giới xây dựng từ 20m trở lên;</w:t>
      </w:r>
    </w:p>
    <w:p>
      <w:r>
        <w:rPr>
          <w:b w:val="0"/>
          <w:i w:val="0"/>
        </w:rPr>
        <w:t>- Các vị trí khác tùy từng trường hợp cụ thể, UBND cấp huyện và các Sở, ngành liên quan tham mưu trình UBND tỉnh quyết định."</w:t>
      </w:r>
    </w:p>
    <w:p>
      <w:r>
        <w:rPr>
          <w:b/>
          <w:i w:val="0"/>
        </w:rPr>
        <w:t>2. Sửa đổi Điều 3 như sau:</w:t>
      </w:r>
    </w:p>
    <w:p>
      <w:r>
        <w:rPr>
          <w:b w:val="0"/>
          <w:i w:val="0"/>
        </w:rPr>
        <w:t>"Khu đất, lô đất đưa ra đấu giá phải là các khu đất, lô đất sau khi: Đã được công bố đấu giá trên các phương tiện thông tin đại chúng; đã được giải phóng mặt bằng; đã xây dựng hạ tầng giao thông đến khu đất, lô đất; được quy hoạch chi tiết để xác định chức năng, quy mô sử dụng đất của công trình; xác định được suất đầu tư tối thiểu và thời hạn thực hiện dự án cụ thể."</w:t>
      </w:r>
    </w:p>
    <w:p>
      <w:r>
        <w:rPr>
          <w:b/>
          <w:i w:val="0"/>
        </w:rPr>
        <w:t>3. Sửa đổi, bổ sung Điều 5 như sau:</w:t>
      </w:r>
    </w:p>
    <w:p>
      <w:r>
        <w:rPr>
          <w:b w:val="0"/>
          <w:i w:val="0"/>
        </w:rPr>
        <w:t>a) Sửa đổi bước 1:</w:t>
      </w:r>
    </w:p>
    <w:p>
      <w:r>
        <w:rPr>
          <w:b w:val="0"/>
          <w:i w:val="0"/>
        </w:rPr>
        <w:t>"</w:t>
      </w:r>
      <w:r>
        <w:rPr>
          <w:b/>
          <w:i/>
        </w:rPr>
        <w:t>Bước 1</w:t>
      </w:r>
      <w:r>
        <w:rPr>
          <w:b w:val="0"/>
          <w:i w:val="0"/>
        </w:rPr>
        <w:t xml:space="preserve">: Lập quy hoạch chi tiết bằn bản vẽ mặt bằng tỷ lệ 1/500 và thông báo suất đầu tư tối thiểu. </w:t>
      </w:r>
    </w:p>
    <w:p>
      <w:r>
        <w:rPr>
          <w:b w:val="0"/>
          <w:i w:val="0"/>
        </w:rPr>
        <w:t xml:space="preserve">Đơn vị thực hiện: Viện quy hoạch kiến trúc tỉnh. </w:t>
      </w:r>
    </w:p>
    <w:p>
      <w:r>
        <w:rPr>
          <w:b w:val="0"/>
          <w:i w:val="0"/>
        </w:rPr>
        <w:t xml:space="preserve">Cơ quan chỉ đạo, thẩm định và xét duyệt: Sở Xây dựng. </w:t>
      </w:r>
    </w:p>
    <w:p>
      <w:r>
        <w:rPr>
          <w:b w:val="0"/>
          <w:i w:val="0"/>
        </w:rPr>
        <w:t>Thời gian thực hiện: Không quá 20 ngày làm việc, kể từ ngày UBND tỉnh phê duyệt quỹ đất".</w:t>
      </w:r>
    </w:p>
    <w:p>
      <w:r>
        <w:rPr>
          <w:b w:val="0"/>
          <w:i w:val="0"/>
        </w:rPr>
        <w:t>b) Bỏ bước 2 và bước 5.</w:t>
      </w:r>
    </w:p>
    <w:p>
      <w:r>
        <w:rPr>
          <w:b w:val="0"/>
          <w:i w:val="0"/>
        </w:rPr>
        <w:t>c) Sửa đổi bước 6 thành:</w:t>
      </w:r>
    </w:p>
    <w:p>
      <w:r>
        <w:rPr>
          <w:b w:val="0"/>
          <w:i w:val="0"/>
        </w:rPr>
        <w:t>"</w:t>
      </w:r>
      <w:r>
        <w:rPr>
          <w:b/>
          <w:i/>
        </w:rPr>
        <w:t>Bước 4</w:t>
      </w:r>
      <w:r>
        <w:rPr>
          <w:b w:val="0"/>
          <w:i w:val="0"/>
        </w:rPr>
        <w:t xml:space="preserve">: Lập phương án thực hiện xây dựng hạ tầng đến khu đất, lô đất (nếu có). </w:t>
      </w:r>
    </w:p>
    <w:p>
      <w:r>
        <w:rPr>
          <w:b w:val="0"/>
          <w:i w:val="0"/>
        </w:rPr>
        <w:t>Đơn vị thực hiện: UBND các huyện, thành phố, thị xã.</w:t>
      </w:r>
    </w:p>
    <w:p>
      <w:r>
        <w:rPr>
          <w:b w:val="0"/>
          <w:i w:val="0"/>
        </w:rPr>
        <w:t>Thời gian thực hiện: Không quá 90 ngày kể từ ngày cấp thẩm quyền phê duyệt dự toán."</w:t>
      </w:r>
    </w:p>
    <w:p>
      <w:r>
        <w:rPr>
          <w:b w:val="0"/>
          <w:i w:val="0"/>
        </w:rPr>
        <w:t>d) Đổi bước 3 thành bước 2, bước 4 thành bước 3, bước 7 thành bước 5.</w:t>
      </w:r>
    </w:p>
    <w:p>
      <w:r>
        <w:rPr>
          <w:b/>
          <w:i w:val="0"/>
        </w:rPr>
        <w:t>4. Bổ sung</w:t>
      </w:r>
      <w:r>
        <w:rPr>
          <w:b w:val="0"/>
          <w:i w:val="0"/>
        </w:rPr>
        <w:t xml:space="preserve"> cụm từ "thị xã Thái Hòa" sau cụm từ "thị xã Cửa Lò" tại Điều 5, Điều 6 và Điều 11 của Quy định;</w:t>
      </w:r>
    </w:p>
    <w:p>
      <w:r>
        <w:rPr>
          <w:b/>
          <w:i w:val="0"/>
        </w:rPr>
        <w:t>5. Bỏ cụm từ</w:t>
      </w:r>
      <w:r>
        <w:rPr>
          <w:b w:val="0"/>
          <w:i w:val="0"/>
        </w:rPr>
        <w:t xml:space="preserve"> "(bao gồm cả xã, phường, thị trấn)" tại khoản 2 Điều 6 và bỏ cụm từ "chủ trì" tại khoản 2 Điều 10.</w:t>
      </w:r>
    </w:p>
    <w:p>
      <w:r>
        <w:rPr>
          <w:b w:val="0"/>
          <w:i w:val="0"/>
        </w:rPr>
        <w:t>6. Sửa đổi Điều 13 như sau: "Hàng năm, UBND các huyện, thành phố, thị xã tiến hành rà soát quỹ đất của địa phương, xác định các khu đất, lô đất có giá trị "sinh lợi" theo quy định này báo cáo UBND tỉnh, Sở Tài chính trước ngày 15 tháng 01 hàng năm.</w:t>
      </w:r>
    </w:p>
    <w:p>
      <w:r>
        <w:rPr>
          <w:b w:val="0"/>
          <w:i w:val="0"/>
        </w:rPr>
        <w:t>Giao Sở Tài chính chủ trì, phối hợp với Sở Tài nguyên và Môi trường, Sở Xây dựng căn cứ đề xuất của UBND cấp huyện, tham mưu trình UBND tỉnh phê duyệt để công bố công khai quỹ đất phải đưa ra đấu giá trước ngày 30 tháng 01 hàng năm."</w:t>
      </w:r>
    </w:p>
    <w:p>
      <w:r>
        <w:rPr>
          <w:b/>
          <w:i w:val="0"/>
        </w:rPr>
        <w:t xml:space="preserve">Điều 2. </w:t>
      </w:r>
      <w:r>
        <w:rPr>
          <w:b w:val="0"/>
          <w:i w:val="0"/>
        </w:rPr>
        <w:t>Quyết định này có hiệu lực sau 10 ngày kể từ ngày ký.</w:t>
      </w:r>
    </w:p>
    <w:p>
      <w:r>
        <w:rPr>
          <w:b/>
          <w:i w:val="0"/>
        </w:rPr>
        <w:t xml:space="preserve">Điều 3. </w:t>
      </w:r>
      <w:r>
        <w:rPr>
          <w:b w:val="0"/>
          <w:i w:val="0"/>
        </w:rPr>
        <w:t>Chánh Văn phòng UBND tỉnh; Giám đốc các Sở: Kế hoạch và Đầu tư, Tài chính, Tài nguyên và Môi trường, Xây dựng; Cục trưởng Cục thuế; Thủ trưởng các ban, ngành cấp tỉnh có liên quan; Chủ tịch UBND các huyện, thành phố, thị xã; Chủ tịch UBND các xã, phường, thị trấn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Hồ Đức Phớc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Hồ Đức Phớc</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Hồ Đức Phớc</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Hồ Đức Phớc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