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26/2019/QĐ-TTg về việc phê duyệt Danh mục doanh nghiệp thực hiện cổ phần hóa đến hết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26/2019/QĐ-TTg</w:t>
      </w:r>
      <w:r>
        <w:rPr>
          <w:b w:val="0"/>
          <w:i w:val="0"/>
        </w:rPr>
        <w:br/>
      </w:r>
      <w:r>
        <w:rPr>
          <w:b w:val="0"/>
          <w:i w:val="0"/>
        </w:rPr>
        <w:br/>
      </w:r>
      <w:r>
        <w:rPr>
          <w:b w:val="0"/>
          <w:i/>
        </w:rPr>
        <w:br/>
      </w:r>
      <w:r>
        <w:rPr>
          <w:b w:val="0"/>
          <w:i/>
        </w:rPr>
        <w:t>Ngày 15 tháng 8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26/2019/QĐ-TTg</w:t>
      </w:r>
      <w:r>
        <w:rPr>
          <w:b w:val="0"/>
          <w:i w:val="0"/>
        </w:rPr>
        <w:br/>
      </w:r>
      <w:r>
        <w:rPr>
          <w:b w:val="0"/>
          <w:i w:val="0"/>
        </w:rPr>
        <w:br/>
      </w:r>
      <w:r>
        <w:rPr>
          <w:b w:val="0"/>
          <w:i/>
        </w:rPr>
        <w:br/>
      </w:r>
      <w:r>
        <w:rPr>
          <w:b w:val="0"/>
          <w:i/>
        </w:rPr>
        <w:t>Ngày 15 tháng 8 năm 2019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26/2019/QĐ-TTg</w:t>
      </w:r>
      <w:r>
        <w:rPr>
          <w:b w:val="0"/>
          <w:i w:val="0"/>
        </w:rPr>
        <w:br/>
      </w:r>
      <w:r>
        <w:rPr>
          <w:b w:val="0"/>
          <w:i w:val="0"/>
        </w:rPr>
        <w:br/>
      </w:r>
      <w:r>
        <w:rPr>
          <w:b w:val="0"/>
          <w:i/>
        </w:rPr>
        <w:br/>
      </w:r>
      <w:r>
        <w:rPr>
          <w:b w:val="0"/>
          <w:i/>
        </w:rPr>
        <w:t>Ngày 15 tháng 8 năm 2019</w:t>
      </w:r>
      <w:r>
        <w:rPr>
          <w:b w:val="0"/>
          <w:i/>
        </w:rPr>
        <w:br/>
      </w:r>
      <w:r>
        <w:rPr>
          <w:b w:val="0"/>
          <w:i w:val="0"/>
        </w:rPr>
        <w:br/>
      </w:r>
    </w:p>
    <w:p>
      <w:pPr>
        <w:jc w:val="center"/>
      </w:pPr>
      <w:r>
        <w:rPr>
          <w:b w:val="0"/>
          <w:i w:val="0"/>
        </w:rPr>
        <w:br/>
      </w:r>
      <w:r>
        <w:rPr>
          <w:b w:val="0"/>
          <w:i w:val="0"/>
        </w:rPr>
        <w:t>Số: 26/2019/QĐ-TTg</w:t>
      </w:r>
      <w:r>
        <w:rPr>
          <w:b w:val="0"/>
          <w:i w:val="0"/>
        </w:rPr>
        <w:br/>
      </w:r>
    </w:p>
    <w:p>
      <w:pPr>
        <w:jc w:val="center"/>
      </w:pPr>
      <w:r>
        <w:rPr>
          <w:b w:val="0"/>
          <w:i w:val="0"/>
        </w:rPr>
        <w:br/>
      </w:r>
      <w:r>
        <w:rPr>
          <w:b w:val="0"/>
          <w:i w:val="0"/>
        </w:rPr>
        <w:t>Ngày 15 tháng 8 năm 2019</w:t>
      </w:r>
      <w:r>
        <w:rPr>
          <w:b w:val="0"/>
          <w:i w:val="0"/>
        </w:rPr>
        <w:br/>
      </w:r>
    </w:p>
    <w:p>
      <w:r>
        <w:rPr>
          <w:b/>
          <w:i w:val="0"/>
        </w:rPr>
        <w:t>QUYẾT ĐỊNH</w:t>
      </w:r>
    </w:p>
    <w:p>
      <w:r>
        <w:rPr>
          <w:b/>
          <w:i w:val="0"/>
        </w:rPr>
        <w:t>về</w:t>
      </w:r>
      <w:r>
        <w:rPr>
          <w:b w:val="0"/>
          <w:i w:val="0"/>
        </w:rPr>
        <w:t xml:space="preserve"> </w:t>
      </w:r>
      <w:r>
        <w:rPr>
          <w:b/>
          <w:i w:val="0"/>
        </w:rPr>
        <w:t>việc phê duyệt Da</w:t>
      </w:r>
      <w:r>
        <w:rPr>
          <w:b/>
          <w:i w:val="0"/>
        </w:rPr>
        <w:t>nh mục doanh nghiệp</w:t>
      </w:r>
      <w:r>
        <w:rPr>
          <w:b/>
          <w:i w:val="0"/>
        </w:rPr>
        <w:t xml:space="preserve"> </w:t>
      </w:r>
      <w:r>
        <w:rPr>
          <w:b/>
          <w:i w:val="0"/>
        </w:rPr>
        <w:t>thực hiện cổ</w:t>
      </w:r>
      <w:r>
        <w:rPr>
          <w:b/>
          <w:i w:val="0"/>
        </w:rPr>
        <w:t xml:space="preserve"> phần hóa đến hết năm 2020</w:t>
      </w:r>
    </w:p>
    <w:p>
      <w:r>
        <w:rPr>
          <w:b w:val="0"/>
          <w:i/>
        </w:rPr>
        <w:t xml:space="preserve">Căn cứ </w:t>
      </w:r>
      <w:r>
        <w:rPr>
          <w:b w:val="0"/>
          <w:i/>
        </w:rPr>
        <w:t xml:space="preserve">Luật tổ chức Chính phủ </w:t>
      </w:r>
      <w:r>
        <w:rPr>
          <w:b w:val="0"/>
          <w:i/>
        </w:rPr>
        <w:t>ngày 19 tháng 6 năm 2015;</w:t>
      </w:r>
    </w:p>
    <w:p>
      <w:r>
        <w:rPr>
          <w:b w:val="0"/>
          <w:i/>
        </w:rPr>
        <w:t xml:space="preserve">Căn cứ </w:t>
      </w:r>
      <w:r>
        <w:rPr>
          <w:b w:val="0"/>
          <w:i/>
        </w:rPr>
        <w:t xml:space="preserve">Luật doanh nghiệp </w:t>
      </w:r>
      <w:r>
        <w:rPr>
          <w:b w:val="0"/>
          <w:i/>
        </w:rPr>
        <w:t>ngày 26 tháng 11 năm 2014;</w:t>
      </w:r>
    </w:p>
    <w:p>
      <w:r>
        <w:rPr>
          <w:b w:val="0"/>
          <w:i/>
        </w:rPr>
        <w:t xml:space="preserve">Căn cứ </w:t>
      </w:r>
      <w:r>
        <w:rPr>
          <w:b w:val="0"/>
          <w:i/>
        </w:rPr>
        <w:t>Luật quản lý, sử dụng vốn nhà nước đầu tư vào sản xuất, kinh doanh tại doanh nghiệp</w:t>
      </w:r>
      <w:r>
        <w:rPr>
          <w:b w:val="0"/>
          <w:i/>
        </w:rPr>
        <w:t xml:space="preserve"> ngày 26 tháng 11 năm 2014;</w:t>
      </w:r>
    </w:p>
    <w:p>
      <w:r>
        <w:rPr>
          <w:b w:val="0"/>
          <w:i/>
        </w:rPr>
        <w:t xml:space="preserve">Thực hiện </w:t>
      </w:r>
      <w:r>
        <w:rPr>
          <w:b w:val="0"/>
          <w:i/>
        </w:rPr>
        <w:t>Quyết định số 58/2016/QĐ-TTg</w:t>
      </w:r>
      <w:r>
        <w:rPr>
          <w:b w:val="0"/>
          <w:i/>
        </w:rPr>
        <w:t xml:space="preserve"> ngày 28 tháng 12 năm 2016 về tiêu chí phân loại doanh nghiệp nhà nước, doanh nghiệp có vốn nhà nước và Danh mục doanh nghiệp nhà nước thực hiện sắp xếp giai đoạn 2016 - 2020;</w:t>
      </w:r>
    </w:p>
    <w:p>
      <w:r>
        <w:rPr>
          <w:b w:val="0"/>
          <w:i/>
        </w:rPr>
        <w:t>Theo đề nghị của Bộ trưởng Bộ Kế hoạch và Đầu tư;</w:t>
      </w:r>
    </w:p>
    <w:p>
      <w:r>
        <w:rPr>
          <w:b w:val="0"/>
          <w:i/>
        </w:rPr>
        <w:t>Thủ tướng Chính phủ ban hành Quyết định về việc phê duyệt Danh mục doanh nghiệp thực hiện cổ phần hóa đến hết năm 2020.</w:t>
      </w:r>
    </w:p>
    <w:p>
      <w:pPr>
        <w:jc w:val="both"/>
      </w:pPr>
      <w:r>
        <w:rPr>
          <w:b/>
          <w:i w:val="0"/>
        </w:rPr>
        <w:t>Điều 1. Phạm vi điều chỉnh</w:t>
      </w:r>
    </w:p>
    <w:p>
      <w:pPr>
        <w:jc w:val="both"/>
      </w:pPr>
      <w:r>
        <w:rPr>
          <w:b w:val="0"/>
          <w:i w:val="0"/>
        </w:rPr>
        <w:t>Quyết định này quy định về Danh mục doanh nghiệp thực hiện cổ phần hóa đến hết năm 2020.</w:t>
      </w:r>
    </w:p>
    <w:p>
      <w:pPr>
        <w:jc w:val="both"/>
      </w:pPr>
      <w:r>
        <w:rPr>
          <w:b/>
          <w:i w:val="0"/>
        </w:rPr>
        <w:t>Điều 2. Đối tượng áp dụng</w:t>
      </w:r>
    </w:p>
    <w:p>
      <w:pPr>
        <w:jc w:val="both"/>
      </w:pPr>
      <w:r>
        <w:rPr>
          <w:b w:val="0"/>
          <w:i w:val="0"/>
        </w:rPr>
        <w:t>1. Doanh nghiệp nhà nước do</w:t>
      </w:r>
    </w:p>
    <w:p>
      <w:pPr>
        <w:jc w:val="both"/>
      </w:pPr>
      <w:r>
        <w:rPr>
          <w:b w:val="0"/>
          <w:i w:val="0"/>
        </w:rPr>
        <w:t>2. Công ty trách nhiệm hữu hạn một thành viên do Hội đồng thành viên tập đoàn kinh tế, tổng công ty nhà nước quyết định thành lập; người đại diện phần vốn góp của tập đoàn kinh tế, tổng công ty tại công ty cổ phần, công ty trách nhiệm hữu hạn hai thành viên trở lên.</w:t>
      </w:r>
    </w:p>
    <w:p>
      <w:pPr>
        <w:jc w:val="both"/>
      </w:pPr>
      <w:r>
        <w:rPr>
          <w:b w:val="0"/>
          <w:i w:val="0"/>
        </w:rPr>
        <w:t>3. Cơ quan, tổ chức, cá nhân khác có liên quan đến việc sắp xếp, đổi mới doanh nghiệp nhà nước, doanh nghiệp có vốn nhà nước.</w:t>
      </w:r>
    </w:p>
    <w:p>
      <w:pPr>
        <w:jc w:val="both"/>
      </w:pPr>
      <w:r>
        <w:rPr>
          <w:b/>
          <w:i w:val="0"/>
        </w:rPr>
        <w:t>Điều 3. Tổ chức thực hiện</w:t>
      </w:r>
    </w:p>
    <w:p>
      <w:pPr>
        <w:jc w:val="both"/>
      </w:pPr>
      <w:r>
        <w:rPr>
          <w:b w:val="0"/>
          <w:i w:val="0"/>
        </w:rPr>
        <w:t>1. Bộ trưởng Bộ quản lý ngành, Chủ tịch Ủy ban nhân dân cấp tỉnh, Hội đồng thành viên tập đoàn kinh tế, tổng công ty có trách nhiệm sau:</w:t>
      </w:r>
    </w:p>
    <w:p>
      <w:pPr>
        <w:jc w:val="both"/>
      </w:pPr>
      <w:r>
        <w:rPr>
          <w:b w:val="0"/>
          <w:i w:val="0"/>
        </w:rPr>
        <w:t>a) Căn cứ Phụ lục Danh mục doanh nghiệp thực hiện cổ phần hóa đến hết năm 2020 ban hành kèm theo Quyết định này để tổ chức, triển khai thực hiện cổ phần hóa (hoàn thành công bố giá trị doanh nghiệp) đúng kế hoạch.</w:t>
      </w:r>
    </w:p>
    <w:p>
      <w:pPr>
        <w:jc w:val="both"/>
      </w:pPr>
      <w:r>
        <w:rPr>
          <w:b w:val="0"/>
          <w:i w:val="0"/>
        </w:rPr>
        <w:t>b) Xây dựng lộ trình tiếp tục bán phần vốn nhà nước tại các doanh nghiệp sau khi cổ phần hóa đảm bảo phù hợp với tiêu chí tại Phụ lục I ban hành kèm theo Quyết định số 58/2016/QĐ-TTg về tiêu chí phân loại doanh nghiệp nhà nước, doanh nghiệp có vốn nhà nước theo quy định.</w:t>
      </w:r>
    </w:p>
    <w:p>
      <w:pPr>
        <w:jc w:val="both"/>
      </w:pPr>
      <w:r>
        <w:rPr>
          <w:b w:val="0"/>
          <w:i w:val="0"/>
        </w:rPr>
        <w:t>c) Báo cáo Thủ tướng Chính phủ xem xét, quyết định việc điều chỉnh tỷ lệ vốn nhà nước nắm giữ tại các doanh nghiệp sản xuất và cung ứng sản phẩm, dịch vụ công ích; những trường hợp đặc thù, có vai trò quan trọng trong phát triển kinh tế tại địa phương, phục vụ chiến lược phát triển ngành và các trường hợp đặc thù khác.</w:t>
      </w:r>
    </w:p>
    <w:p>
      <w:pPr>
        <w:jc w:val="both"/>
      </w:pPr>
      <w:r>
        <w:rPr>
          <w:b w:val="0"/>
          <w:i w:val="0"/>
        </w:rPr>
        <w:t>d) Báo cáo Thủ tướng Chính phủ xem xét, quyết định đối với trường hợp Nhà nước cần nắm giữ từ 36% đến 50% vốn điều lệ khi thực hiện cổ phần hóa các doanh nghiệp thuộc diện Nhà nước nắm giữ từ 50% vốn điều lệ trở xuống hoặc không nắm giữ cổ phần.</w:t>
      </w:r>
    </w:p>
    <w:p>
      <w:pPr>
        <w:jc w:val="both"/>
      </w:pPr>
      <w:r>
        <w:rPr>
          <w:b w:val="0"/>
          <w:i w:val="0"/>
        </w:rPr>
        <w:t>đ) Định kỳ hằng quý và trước ngày 30 tháng 9 năm 2020 báo cáo kết quả thực hiện cổ phần hóa doanh nghiệp quy định tại Phụ lục ban hành kèm theo Quyết định này để gửi Bộ Kế hoạch và Đầu tư, Bộ Tài chính và Ban Chỉ đạo Đổi mới và Phát triển doanh nghiệp tổng hợp, báo cáo Thủ tướng Chính phủ theo chức năng, nhiệm vụ được giao.</w:t>
      </w:r>
    </w:p>
    <w:p>
      <w:pPr>
        <w:jc w:val="both"/>
      </w:pPr>
      <w:r>
        <w:rPr>
          <w:b w:val="0"/>
          <w:i w:val="0"/>
        </w:rPr>
        <w:t>e) Chịu trách nhiệm về việc không hoàn thành cổ phần hóa theo đúng tiến độ quy định tại Quyết định này.</w:t>
      </w:r>
    </w:p>
    <w:p>
      <w:pPr>
        <w:jc w:val="both"/>
      </w:pPr>
      <w:r>
        <w:rPr>
          <w:b w:val="0"/>
          <w:i w:val="0"/>
        </w:rPr>
        <w:t>2. Bộ Kế hoạch và Đầu tư có trách nhiệm:</w:t>
      </w:r>
    </w:p>
    <w:p>
      <w:pPr>
        <w:jc w:val="both"/>
      </w:pPr>
      <w:r>
        <w:rPr>
          <w:b w:val="0"/>
          <w:i w:val="0"/>
        </w:rPr>
        <w:t>a) Tổng hợp kết quả thực hiện sắp xếp doanh nghiệp nhà nước trên phạm vi cả nước đến năm 2020 và đề xuất phương án sắp xếp doanh nghiệp giai đoạn 2021 - 2025 để báo cáo</w:t>
      </w:r>
    </w:p>
    <w:p>
      <w:pPr>
        <w:jc w:val="both"/>
      </w:pPr>
      <w:r>
        <w:rPr>
          <w:b w:val="0"/>
          <w:i w:val="0"/>
        </w:rPr>
        <w:t>b) Theo dõi, hướng dẫn, đôn đốc bộ, ngành, địa phương, tập đoàn kinh tế và tổng công ty thực hiện Quyết định này.</w:t>
      </w:r>
    </w:p>
    <w:p>
      <w:pPr>
        <w:jc w:val="both"/>
      </w:pPr>
      <w:r>
        <w:rPr>
          <w:b/>
          <w:i w:val="0"/>
        </w:rPr>
        <w:t>Điều 4. Trách nhiệm thi hành</w:t>
      </w:r>
    </w:p>
    <w:p>
      <w:pPr>
        <w:jc w:val="both"/>
      </w:pPr>
      <w:r>
        <w:rPr>
          <w:b w:val="0"/>
          <w:i w:val="0"/>
        </w:rPr>
        <w:t>1. Quyết định này có hiệu lực thi hành kể từ ngày ký ban hành và bãi bỏ mục II, III, IV Phụ lục số IIa, IIb ban hành kèm theo Quyết định số 56/2016/QĐ-TTg ngày 28 tháng 12 năm 2016 về tiêu chí phân loại doanh nghiệp nhà nước, doanh nghiệp có vốn nhà nước và Danh mục doanh nghiệp nhà nước thực hiện sắp xếp giai đoạn 2016 - 2020.</w:t>
      </w:r>
    </w:p>
    <w:p>
      <w:pPr>
        <w:jc w:val="both"/>
      </w:pPr>
      <w:r>
        <w:rPr>
          <w:b w:val="0"/>
          <w:i w:val="0"/>
        </w:rPr>
        <w:t>2. Bộ trưởng Bộ quản lý ngành, Chủ tịch Ủy ban nhân dân cấp tỉnh, Hội đồng thành viên tập đoàn kinh tế và tổng công ty có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