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26/CT-UB V/v Tăng cường các biện pháp phòng cháy chữa cháy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r>
              <w:rPr>
                <w:b w:val="0"/>
                <w:i w:val="0"/>
              </w:rPr>
              <w:br/>
            </w:r>
            <w:r>
              <w:rPr>
                <w:b w:val="0"/>
                <w:i w:val="0"/>
              </w:rPr>
              <w:br/>
            </w:r>
            <w:r>
              <w:rPr>
                <w:b w:val="0"/>
                <w:i w:val="0"/>
              </w:rPr>
              <w:t xml:space="preserve"> </w:t>
            </w:r>
            <w:r>
              <w:rPr>
                <w:b w:val="0"/>
                <w:i w:val="0"/>
              </w:rPr>
              <w:t>Số: 26/CT-UB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rPr>
              <w:t xml:space="preserve">Đà Nẵng, ngày </w:t>
            </w:r>
            <w:r>
              <w:rPr>
                <w:b w:val="0"/>
                <w:i/>
              </w:rPr>
              <w:t>24</w:t>
            </w:r>
            <w:r>
              <w:rPr>
                <w:b w:val="0"/>
                <w:i/>
              </w:rPr>
              <w:t xml:space="preserve"> tháng 0</w:t>
            </w:r>
            <w:r>
              <w:rPr>
                <w:b w:val="0"/>
                <w:i/>
              </w:rPr>
              <w:t>9</w:t>
            </w:r>
            <w:r>
              <w:rPr>
                <w:b w:val="0"/>
                <w:i/>
              </w:rPr>
              <w:t xml:space="preserve"> năm </w:t>
            </w:r>
            <w:r>
              <w:rPr>
                <w:b w:val="0"/>
                <w:i/>
              </w:rPr>
              <w:t>1997</w:t>
            </w:r>
          </w:p>
        </w:tc>
      </w:tr>
    </w:tbl>
    <w:p>
      <w:pPr>
        <w:jc w:val="center"/>
      </w:pPr>
      <w:r>
        <w:rPr>
          <w:b/>
          <w:i w:val="0"/>
        </w:rPr>
        <w:t>CHỈ THỊ</w:t>
      </w:r>
    </w:p>
    <w:p>
      <w:pPr>
        <w:jc w:val="center"/>
      </w:pPr>
      <w:r>
        <w:rPr>
          <w:b/>
          <w:i w:val="0"/>
        </w:rPr>
        <w:t>V/v Tăng cường các biện pháp phòng cháy chữa cháy</w:t>
      </w:r>
    </w:p>
    <w:p>
      <w:pPr>
        <w:jc w:val="both"/>
      </w:pPr>
      <w:r>
        <w:rPr>
          <w:b w:val="0"/>
          <w:i w:val="0"/>
        </w:rPr>
        <w:t>Thực hiện Chỉ thị 237/TTg ngày 19-4-1996 của Thủ tướng Chính phủ về tăng cường thực hiện các biện pháp phòng cháy chữa cháy, thời gian qua các ngành, các cấp trong thành phố đá tập trung chỉ đạo, kiểm tra chấn chỉnh các công tác PCCC, củng cố lực lượng và đầu tư kinh phí để mua sắm thèm phương tiện, dụng cụ chữa cháy cần thiết, tạo nguồn nước chữa cháy tại chỗ v.v... bước đầu đã đảm bảo được những yêu cầu tối thiểu, trước mắt về công tác PCCC tại cơ quan đơn vị, địa phương. Tuy nhiên, so với yêu cầu hiện tại và sự phát triển của thành phố trong tương lai thì khả năng PCCC còn rất thiếu và yếu.</w:t>
      </w:r>
    </w:p>
    <w:p>
      <w:pPr>
        <w:jc w:val="both"/>
      </w:pPr>
      <w:r>
        <w:rPr>
          <w:b w:val="0"/>
          <w:i w:val="0"/>
        </w:rPr>
        <w:t>Để đáp ứng yêu cầu cấp thiết về PCCC trong tình hình mới, phục vụ đắc lực cho việc phát triển kinh tế-xã hội của thành phố, UBND thành phố Đà Nẵng yêu cầu :</w:t>
      </w:r>
    </w:p>
    <w:p>
      <w:pPr>
        <w:jc w:val="both"/>
      </w:pPr>
      <w:r>
        <w:rPr>
          <w:b w:val="0"/>
          <w:i w:val="0"/>
        </w:rPr>
        <w:t>1- Chủ tịch UBND các quận, huyện, thủ trưởng các sở, ban, ngành, cơ quan, xí nghiệp (kể cả các cơ quan TW đóng trên địa bàn thành phố) cần khẩn trương có kế hoạch tổng kiểm tra đánh giá thực trạng công tác PCCC tại cơ quan, xí nghiệp, địa phương mình theo những yêu cầu và nội dung cơ bản nêu trong Chỉ thị 237/TTg của Thủ tướng Chính phủ. Trên cơ sở đó có kế hoạch kiện toàn lại công tác PCCC, nhất là những vấn đề còn tồn tại về tổ chức lực lượng PCCC, về trang bị phương tiện, nguồn nước chữa cháy tại chỗ v.v... cần được giải quyết cơ bản trong quý IV/1997. Trước mắt rà soát bổ sung những nội quy, quy chế, quy trình về công tác PCCC cho phù hợp với điều kiện thực tế đã thay đổi ở cơ quan, đơn vị, địa phương mình. Trong đó đặc biệt chú ý việc đầu tư kinh phí để mua sắm thêm phương tiện dụng cụ PCCC cho đủ về số lượng, đảm bảo về chất lượng, phù hợp với tính chất, quy mô hoạt động của từng đơn vị cơ sở, Lãnh đạo các cơ quan, đơn vị, địa phương phải trực tiếp chỉ đạo, chấn chỉnh, khắc phục ngay những mặt còn sơ hở, thiếu sót dễ dẫn đến cháy, nổ đã được cơ quan chức năng kiểm tra hướng dẫn, kiến nghị. Đồng thời có kế hoạch củng cố lực lượng PCCC tại chỗ đủ mạnh, xây dựng các phương án PCCC cụ thể, thích hợp để khi có sự cố xảy ra có thể phát hiện sớm và tổ chức chữa cháy kịp thời, không để cháy lây lan gây thiệt hại lớn.</w:t>
      </w:r>
    </w:p>
    <w:p>
      <w:pPr>
        <w:jc w:val="both"/>
      </w:pPr>
      <w:r>
        <w:rPr>
          <w:b w:val="0"/>
          <w:i w:val="0"/>
        </w:rPr>
        <w:t>2- Đối với các đơn vị quân đội đóng trên địa bàn thành phố, đề nghị chủ động phối hợp thường xuyên, chặt chẽ với cơ quan PCCC để có kế hoạch, biện pháp tổ chức thật tốt công tác PCCC trong từng đơn vị, quân binh chủng, nhất là ở các đơn vị có các kho vũ khí, khí tài, quân nhu. Đồng thời có phương án phối hợp với địa phương trong việc huy động lực lượng, phương tiện để giải quyết các vụ cháy lớn trong và ngoài doanh trại quân đội khi cần thiết.</w:t>
      </w:r>
    </w:p>
    <w:p>
      <w:pPr>
        <w:jc w:val="both"/>
      </w:pPr>
      <w:r>
        <w:rPr>
          <w:b w:val="0"/>
          <w:i w:val="0"/>
        </w:rPr>
        <w:t>3- Để triển khai thực hiện tốt Thông tư số 10/TT-LB ngày 24-12-1994 của Liên Bộ Nội Vụ - Xây dựng về xây dựng hệ thống cấp nước chữa cháy đô thị, UBND thành phố giao trách nhiệm cho Sở Xây dựng chủ trì phối hợp với Công ty cấp nước, Công an thành phố Đà Nẵng và các cơ quan liên quan khảo sát, thiết kế và lập dự án xây dựng hệ thống cấp nước chữa cháy trong thành phố Đà Nẵng trình UBND thành phố xem xét, phê duyệt để xây dựng vào những năm tới. Trước mắt từ nay đến cuối quý I/1998 phải khảo sát, làm xong dự án cấp nước chữa cháy tại các tuyến đường 2- 9, đường Núi Thành, đường Bạch Đằng Đông, khu Công nghiệp Hòa Khánh để bổ sung trong quá trình xây dựng các công trình này. Đồng thời gấp rút chuẩn bị vị trí cho xe chữa cháy lấy nước tại Sông Hàn, hồ công viên 29-3 và một số hồ nước ngầm tại khu vực trung tâm thành phố, khu vực dân cư tập trung hiện đang thiếu nước chữa cháy để phục vụ cho yêu cầu chữa cháy trước mất. Sở Tài chính-vật giá và Sở Kế hoạch - đầu tư cân đối ngân sách và đề xuất cấp kinh phí xây dựng khi có dự án cấp nước chữa cháy đã được UBND thành phố plìe duyệt.</w:t>
      </w:r>
    </w:p>
    <w:p>
      <w:pPr>
        <w:jc w:val="both"/>
      </w:pPr>
      <w:r>
        <w:rPr>
          <w:b w:val="0"/>
          <w:i w:val="0"/>
        </w:rPr>
        <w:t>4- Giao trách nhiệm cho công an thành phố thường xuyên tổ chức kiểm tra, hướng dẫn, đôn đốc việc thực hiện công tác PCCC tại các ngành, địa phương, đơn vị để kịp thời phát hiện, kiến nghị khắc phục những thiếu sót, nguy cơ co thể dẫn đến cháy nổ. Mọi trường hợp vi phạm về quy định PCCC, phòng nổ đều phí được xử lý nghiêm khắc theo Nghị định 49/CP của Chính phủ. Những trường hợp gây hậu quả nghiêm trọng phải truy cứu trách nhiệm hình sự.</w:t>
      </w:r>
    </w:p>
    <w:p>
      <w:pPr>
        <w:jc w:val="both"/>
      </w:pPr>
      <w:r>
        <w:rPr>
          <w:b w:val="0"/>
          <w:i w:val="0"/>
        </w:rPr>
        <w:t>5- Căn cứ Quyết định số 369/TTg ngày 4-6-1996 của Thủ tướng Chính phủ về việc lấy ngày 4-10 hằng năm là “ngày PCCC toàn dân” và tháng 10 hằng năm là “tháng an toàn phòng cháy chữa cháy”, UBND thành phố giao cho Công an thành phố Đà Nẵng có trách nhiệm hướng dẫn cụ thể nội dung hoạt động cho các cơ quan, đơn vị, địa phương đảm bảo hiệu quả, thiết thực và tiết kiệm.</w:t>
      </w:r>
    </w:p>
    <w:p>
      <w:pPr>
        <w:jc w:val="both"/>
      </w:pPr>
      <w:r>
        <w:rPr>
          <w:b w:val="0"/>
          <w:i w:val="0"/>
        </w:rPr>
        <w:t>Nhận được chỉ thị này, yêu cầu các sở, ban, ngành, các cơ quan, địa phương, đơn vị có kế hoạch triển khai thực hiện và báo cáo kết quả cho UBND thành phố để theo dõi chỉ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 :</w:t>
            </w:r>
            <w:r>
              <w:rPr>
                <w:b w:val="0"/>
                <w:i w:val="0"/>
              </w:rPr>
              <w:br/>
            </w:r>
            <w:r>
              <w:rPr>
                <w:b w:val="0"/>
                <w:i w:val="0"/>
              </w:rPr>
              <w:t xml:space="preserve">- </w:t>
            </w:r>
            <w:r>
              <w:rPr>
                <w:b w:val="0"/>
                <w:i w:val="0"/>
              </w:rPr>
              <w:t>VP Chính phủ (thay b/c)</w:t>
            </w:r>
            <w:r>
              <w:rPr>
                <w:b w:val="0"/>
                <w:i w:val="0"/>
              </w:rPr>
              <w:br/>
            </w:r>
            <w:r>
              <w:rPr>
                <w:b w:val="0"/>
                <w:i w:val="0"/>
              </w:rPr>
              <w:t xml:space="preserve">- </w:t>
            </w:r>
            <w:r>
              <w:rPr>
                <w:b w:val="0"/>
                <w:i w:val="0"/>
              </w:rPr>
              <w:t>Bộ Nội vụ</w:t>
            </w:r>
            <w:r>
              <w:rPr>
                <w:b w:val="0"/>
                <w:i w:val="0"/>
              </w:rPr>
              <w:br/>
            </w:r>
            <w:r>
              <w:rPr>
                <w:b w:val="0"/>
                <w:i w:val="0"/>
              </w:rPr>
              <w:t xml:space="preserve">- </w:t>
            </w:r>
            <w:r>
              <w:rPr>
                <w:b w:val="0"/>
                <w:i w:val="0"/>
              </w:rPr>
              <w:t>Bộ TL QK5, vùng 3 Hải quân và các đơm vị QĐ đóng tại ĐN</w:t>
            </w:r>
            <w:r>
              <w:rPr>
                <w:b w:val="0"/>
                <w:i w:val="0"/>
              </w:rPr>
              <w:br/>
            </w:r>
            <w:r>
              <w:rPr>
                <w:b w:val="0"/>
                <w:i w:val="0"/>
              </w:rPr>
              <w:t xml:space="preserve">- </w:t>
            </w:r>
            <w:r>
              <w:rPr>
                <w:b w:val="0"/>
                <w:i w:val="0"/>
              </w:rPr>
              <w:t>7VTU, TTHĐND TP</w:t>
            </w:r>
            <w:r>
              <w:rPr>
                <w:b w:val="0"/>
                <w:i w:val="0"/>
              </w:rPr>
              <w:br/>
            </w:r>
            <w:r>
              <w:rPr>
                <w:b w:val="0"/>
                <w:i w:val="0"/>
              </w:rPr>
              <w:t xml:space="preserve">- </w:t>
            </w:r>
            <w:r>
              <w:rPr>
                <w:b w:val="0"/>
                <w:i w:val="0"/>
              </w:rPr>
              <w:t>Các sở, ban, ngành, ĐT</w:t>
            </w:r>
            <w:r>
              <w:rPr>
                <w:b w:val="0"/>
                <w:i w:val="0"/>
              </w:rPr>
              <w:br/>
            </w:r>
            <w:r>
              <w:rPr>
                <w:b w:val="0"/>
                <w:i w:val="0"/>
              </w:rPr>
              <w:t xml:space="preserve">- </w:t>
            </w:r>
            <w:r>
              <w:rPr>
                <w:b w:val="0"/>
                <w:i w:val="0"/>
              </w:rPr>
              <w:t>Chủ tịch UBND các quận, huyện</w:t>
            </w:r>
            <w:r>
              <w:rPr>
                <w:b w:val="0"/>
                <w:i w:val="0"/>
              </w:rPr>
              <w:br/>
            </w:r>
            <w:r>
              <w:rPr>
                <w:b w:val="0"/>
                <w:i w:val="0"/>
              </w:rPr>
              <w:t xml:space="preserve">- </w:t>
            </w:r>
            <w:r>
              <w:rPr>
                <w:b w:val="0"/>
                <w:i w:val="0"/>
              </w:rPr>
              <w:t>Luu VT, NC</w:t>
            </w:r>
            <w:r>
              <w:rPr>
                <w:b w:val="0"/>
                <w:i w:val="0"/>
              </w:rPr>
              <w:br/>
            </w:r>
            <w:r>
              <w:rPr>
                <w:b w:val="0"/>
                <w:i w:val="0"/>
              </w:rPr>
              <w:t xml:space="preserve"> </w:t>
            </w:r>
          </w:p>
        </w:tc>
        <w:tc>
          <w:tcPr>
            <w:tcW w:type="dxa" w:w="4320"/>
          </w:tcPr>
          <w:p>
            <w:r>
              <w:rPr>
                <w:b w:val="0"/>
                <w:i w:val="0"/>
              </w:rPr>
              <w:br/>
            </w:r>
            <w:r>
              <w:rPr>
                <w:b/>
                <w:i w:val="0"/>
              </w:rPr>
              <w:t xml:space="preserve">TM. UBND THÀNH </w:t>
            </w:r>
            <w:r>
              <w:rPr>
                <w:b/>
                <w:i w:val="0"/>
              </w:rPr>
              <w:t>PHỐ</w:t>
            </w:r>
            <w:r>
              <w:rPr>
                <w:b/>
                <w:i w:val="0"/>
              </w:rPr>
              <w:t xml:space="preserve"> ĐÀ NẴNG</w:t>
            </w:r>
            <w:r>
              <w:br/>
            </w:r>
            <w:r>
              <w:rPr>
                <w:b w:val="0"/>
                <w:i w:val="0"/>
              </w:rPr>
              <w:br/>
            </w:r>
            <w:r>
              <w:rPr>
                <w:b w:val="0"/>
                <w:i w:val="0"/>
              </w:rPr>
              <w:br/>
            </w:r>
            <w:r>
              <w:rPr>
                <w:b/>
                <w:i w:val="0"/>
              </w:rPr>
              <w:t>KT/ CHỦ TỊCH</w:t>
            </w:r>
            <w:r>
              <w:br/>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val="0"/>
                <w:i w:val="0"/>
              </w:rPr>
              <w:br/>
            </w:r>
            <w:r>
              <w:rPr>
                <w:b/>
                <w:i w:val="0"/>
              </w:rPr>
              <w:t>Trần Phước Chính</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