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273/UB-QĐ ban hành bản nội qui cơ quan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273/UB-QĐ</w:t>
        <w:br/>
        <w:t xml:space="preserve">     </w:t>
      </w:r>
      <w:r>
        <w:rPr>
          <w:b w:val="0"/>
          <w:i w:val="0"/>
        </w:rPr>
        <w:br/>
      </w:r>
      <w:r>
        <w:rPr>
          <w:b w:val="0"/>
          <w:i/>
        </w:rPr>
        <w:br/>
        <w:t xml:space="preserve">      Bến Tre, ngày 18 tháng 6 năm 1981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273/UB-QĐ</w:t>
        <w:br/>
        <w:t xml:space="preserve">     </w:t>
      </w:r>
      <w:r>
        <w:rPr>
          <w:b w:val="0"/>
          <w:i w:val="0"/>
        </w:rPr>
        <w:br/>
      </w:r>
      <w:r>
        <w:rPr>
          <w:b w:val="0"/>
          <w:i/>
        </w:rPr>
        <w:br/>
        <w:t xml:space="preserve">      Bến Tre, ngày 18 tháng 6 năm 1981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273/UB-QĐ</w:t>
        <w:br/>
        <w:t xml:space="preserve">     </w:t>
      </w:r>
      <w:r>
        <w:rPr>
          <w:b w:val="0"/>
          <w:i w:val="0"/>
        </w:rPr>
        <w:br/>
      </w:r>
      <w:r>
        <w:rPr>
          <w:b w:val="0"/>
          <w:i/>
        </w:rPr>
        <w:br/>
        <w:t xml:space="preserve">      Bến Tre, ngày 18 tháng 6 năm 1981</w:t>
        <w:br/>
        <w:t xml:space="preserve">     </w:t>
      </w:r>
      <w:r>
        <w:rPr>
          <w:b w:val="0"/>
          <w:i w:val="0"/>
        </w:rPr>
        <w:br/>
      </w:r>
    </w:p>
    <w:p>
      <w:pPr>
        <w:jc w:val="center"/>
      </w:pPr>
      <w:r>
        <w:rPr>
          <w:b w:val="0"/>
          <w:i w:val="0"/>
        </w:rPr>
        <w:br/>
        <w:t xml:space="preserve">      Số: 273/UB-QĐ</w:t>
        <w:br/>
        <w:t xml:space="preserve">     </w:t>
      </w:r>
    </w:p>
    <w:p>
      <w:pPr>
        <w:jc w:val="center"/>
      </w:pPr>
      <w:r>
        <w:rPr>
          <w:b w:val="0"/>
          <w:i w:val="0"/>
        </w:rPr>
        <w:br/>
        <w:t xml:space="preserve">      Bến Tre, ngày 18 tháng 6 năm 1981</w:t>
        <w:br/>
        <w:t xml:space="preserve">     </w:t>
      </w:r>
    </w:p>
    <w:p>
      <w:pPr>
        <w:jc w:val="center"/>
      </w:pPr>
      <w:r>
        <w:rPr>
          <w:b/>
          <w:i w:val="0"/>
        </w:rPr>
        <w:t xml:space="preserve">QUYẾT ĐỊNH </w:t>
      </w:r>
    </w:p>
    <w:p>
      <w:pPr>
        <w:jc w:val="center"/>
      </w:pPr>
      <w:r>
        <w:rPr>
          <w:b/>
          <w:i w:val="0"/>
        </w:rPr>
        <w:t>Ban hành bản nội qui cơ quan</w:t>
      </w:r>
    </w:p>
    <w:p>
      <w:r>
        <w:rPr>
          <w:b w:val="0"/>
          <w:i w:val="0"/>
        </w:rPr>
        <w:t>- Căn cứ vào nghị định số 24-CP ngày 02 tháng 02 năm 1976 qui định nhiệm vụ, quyền hạn và trách nhiệm của chánh quyền Nhà nước cấp Tỉnh.</w:t>
      </w:r>
    </w:p>
    <w:p>
      <w:r>
        <w:rPr>
          <w:b w:val="0"/>
          <w:i w:val="0"/>
        </w:rPr>
        <w:t xml:space="preserve">  - Căn cứ vào đề nghị của ông Trưởng Ty công an.</w:t>
      </w:r>
    </w:p>
    <w:p>
      <w:r>
        <w:rPr>
          <w:b w:val="0"/>
          <w:i w:val="0"/>
        </w:rPr>
        <w:t xml:space="preserve">   - Để đảm bảo an ninh chính trị, giữ gìn những cơ mật cần thiết về tài liệu cùng những chủ trương công tác tăng cường tổ chức kỷ luật, đạo đức tác phong của đội ngũ cán bộ nhân viên và bảo vệ tài liệu sản XHCN trong cơ quan Đảng Nhà nước và đoàn thể.</w:t>
      </w:r>
    </w:p>
    <w:p>
      <w:r>
        <w:rPr>
          <w:b/>
          <w:i w:val="0"/>
        </w:rPr>
        <w:t>QUYẾT ĐỊNH</w:t>
      </w:r>
    </w:p>
    <w:p>
      <w:r>
        <w:rPr>
          <w:b/>
          <w:i w:val="0"/>
        </w:rPr>
        <w:t xml:space="preserve">Điều 1. </w:t>
      </w:r>
      <w:r>
        <w:rPr>
          <w:b w:val="0"/>
          <w:i w:val="0"/>
        </w:rPr>
        <w:t>Ban hành bản nội qui cơ quan ( kèm theo quyết định nầy)</w:t>
      </w:r>
    </w:p>
    <w:p>
      <w:r>
        <w:rPr>
          <w:b/>
          <w:i w:val="0"/>
        </w:rPr>
        <w:t xml:space="preserve">Điều 2. </w:t>
      </w:r>
      <w:r>
        <w:rPr>
          <w:b w:val="0"/>
          <w:i w:val="0"/>
        </w:rPr>
        <w:t>Ông Chánh văn phòng UBND Tỉnh, Ông Trưởng Ty CA, ông Chủ tịch UBND các huyện, thị , các ông Trưởng Ty ban ngành cấp Tỉnh, chịu trách nhiệm thực hiện quyết định nầy.</w:t>
      </w:r>
    </w:p>
    <w:p>
      <w:r>
        <w:rPr>
          <w:b/>
          <w:i w:val="0"/>
        </w:rPr>
        <w:t xml:space="preserve">Điều 3. </w:t>
      </w:r>
      <w:r>
        <w:rPr>
          <w:b w:val="0"/>
          <w:i w:val="0"/>
        </w:rPr>
        <w:t>Quyết định nầy có giá trị kể từ ngày ký.</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Minh Đào</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Minh Đào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