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27/2004/QĐ-BXD Ban hành TCXDVN 320 : 2004 "Bãi chôn lấp chất thải nguy hại - Tiêu chuẩn thiết kế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rPr>
                <w:b w:val="0"/>
                <w:i w:val="0"/>
              </w:rPr>
              <w:br/>
            </w:r>
            <w:r>
              <w:rPr>
                <w:b w:val="0"/>
                <w:i w:val="0"/>
              </w:rPr>
              <w:t>--------</w:t>
            </w:r>
            <w:r>
              <w:rPr>
                <w:b w:val="0"/>
                <w:i w:val="0"/>
              </w:rPr>
              <w:br/>
            </w:r>
            <w:r>
              <w:rPr>
                <w:b w:val="0"/>
                <w:i w:val="0"/>
              </w:rPr>
              <w:t>Số</w:t>
            </w:r>
            <w:r>
              <w:rPr>
                <w:b w:val="0"/>
                <w:i w:val="0"/>
              </w:rPr>
              <w:t>: 27/2004/QĐ-BXD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Hà Nội, ngày 09 tháng 11 năm 2004</w:t>
            </w:r>
          </w:p>
        </w:tc>
      </w:tr>
    </w:tbl>
    <w:p>
      <w:pPr>
        <w:jc w:val="center"/>
      </w:pPr>
      <w:r>
        <w:rPr>
          <w:b/>
          <w:i w:val="0"/>
        </w:rPr>
        <w:t>QUYẾT ĐỊNH CỦA BỘ TRƯỞNG BỘ XÂY DỰNG</w:t>
      </w:r>
    </w:p>
    <w:p>
      <w:pPr>
        <w:jc w:val="center"/>
      </w:pPr>
      <w:r>
        <w:rPr>
          <w:b w:val="0"/>
          <w:i/>
        </w:rPr>
        <w:t>Về việc ban hành TCXDVN 320 : 2004 "Bãi chôn lấp chất thải nguy hại</w:t>
      </w:r>
    </w:p>
    <w:p>
      <w:pPr>
        <w:jc w:val="center"/>
      </w:pPr>
      <w:r>
        <w:rPr>
          <w:b w:val="0"/>
          <w:i/>
        </w:rPr>
        <w:t>- Tiêu chuẩn thiết kế "</w:t>
      </w:r>
    </w:p>
    <w:p>
      <w:pPr>
        <w:jc w:val="center"/>
      </w:pPr>
      <w:r>
        <w:rPr>
          <w:b/>
          <w:i w:val="0"/>
        </w:rPr>
        <w:t>BỘ TRƯỞNG BỘ XÂY DỰNG</w:t>
      </w:r>
    </w:p>
    <w:p>
      <w:r>
        <w:rPr>
          <w:b w:val="0"/>
          <w:i w:val="0"/>
        </w:rPr>
        <w:t>- Căn cứ Nghị định số 36/2003/NĐ-CP ngày 4/4/2003 của Chính phủ quy định chức năng, nhiệm vụ, quyền hạn và cơ cấu tổ chức của Bộ Xây dựng.</w:t>
      </w:r>
    </w:p>
    <w:p>
      <w:r>
        <w:rPr>
          <w:b w:val="0"/>
          <w:i w:val="0"/>
        </w:rPr>
        <w:t>- Xét đề nghị của Vụ trưởng Vụ Khoa học Công nghệ và Giám đốc Công ty tư vấn xây dựng công nghiệp và đô thị Việt Nam tại công văn số 1097/VCC-KHCN ngày 18/8/2004.</w:t>
      </w:r>
    </w:p>
    <w:p>
      <w:pPr>
        <w:jc w:val="center"/>
      </w:pPr>
      <w:r>
        <w:rPr>
          <w:b/>
          <w:i w:val="0"/>
        </w:rPr>
        <w:t>QUYẾT ĐỊNH</w:t>
      </w:r>
    </w:p>
    <w:p>
      <w:r>
        <w:rPr>
          <w:b/>
          <w:i w:val="0"/>
        </w:rPr>
        <w:t>Điều 1.</w:t>
      </w:r>
      <w:r>
        <w:rPr>
          <w:b w:val="0"/>
          <w:i w:val="0"/>
        </w:rPr>
        <w:t xml:space="preserve"> Ban hành kèm theo quyết định này 01 Tiêu chuẩn xây dựng Việt Nam :TCXDVN 320 : 2004 "Bãi chôn lấp chất thải nguy hại - Tiêu chuẩn thiết kế " .</w:t>
      </w:r>
    </w:p>
    <w:p>
      <w:r>
        <w:rPr>
          <w:b/>
          <w:i w:val="0"/>
        </w:rPr>
        <w:t xml:space="preserve">Điều 2. </w:t>
      </w:r>
      <w:r>
        <w:rPr>
          <w:b w:val="0"/>
          <w:i w:val="0"/>
        </w:rPr>
        <w:t>Quyết định này có hiệu lực sau 15 ngày, kể từ ngày đăng công báo.</w:t>
      </w:r>
    </w:p>
    <w:p>
      <w:r>
        <w:rPr>
          <w:b/>
          <w:i w:val="0"/>
        </w:rPr>
        <w:t xml:space="preserve">Điều 3. </w:t>
      </w:r>
      <w:r>
        <w:rPr>
          <w:b w:val="0"/>
          <w:i w:val="0"/>
        </w:rPr>
        <w:t>Các Ông Chánh văn phòng Bộ, Vụ trưởng Vụ Khoa học Công nghệ, Giám đốc Công ty tư vấn xây dựng công nghiệp và đô thị Việt Nam và Thủ trưởng các đơn vị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BỘ TRƯỞNG BỘ XÂY DỰNG</w:t>
            </w:r>
            <w:r>
              <w:rPr>
                <w:b w:val="0"/>
                <w:i w:val="0"/>
              </w:rPr>
              <w:br/>
            </w:r>
            <w:r>
              <w:rPr>
                <w:b w:val="0"/>
                <w:i/>
              </w:rPr>
              <w:t>đã ký</w:t>
            </w:r>
            <w:r>
              <w:rPr>
                <w:b/>
                <w:i w:val="0"/>
              </w:rPr>
              <w:t>Nguyễn Hồng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