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2841/QĐ-BTC Đính chính Phụ lục số 2 - Thông tư số 203/2009/TT-BTC ngày 20/10/2009 của Bộ Tài chính hướng dẫn chế độ quản lý, sử dụng và trích khấu hao tài sản cố định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t>Số: 2841/QĐ-BTC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16 tháng 11 năm 2009</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Đính chính Phụ lục số 2 - Thông tư số 203/2009/TT-BTC </w:t>
      </w:r>
      <w:r>
        <w:rPr>
          <w:b w:val="0"/>
          <w:i w:val="0"/>
        </w:rPr>
        <w:br/>
      </w:r>
      <w:r>
        <w:rPr>
          <w:b/>
          <w:i w:val="0"/>
        </w:rPr>
        <w:t xml:space="preserve">ngày 20/10/2009 của Bộ Tài chính hướng dẫn chế độ quản lý, sử dụng </w:t>
      </w:r>
      <w:r>
        <w:rPr>
          <w:b w:val="0"/>
          <w:i w:val="0"/>
        </w:rPr>
        <w:br/>
      </w:r>
      <w:r>
        <w:rPr>
          <w:b/>
          <w:i w:val="0"/>
        </w:rPr>
        <w:t>và trích khấu hao tài sản cố định</w:t>
      </w:r>
      <w:r>
        <w:rPr>
          <w:b w:val="0"/>
          <w:i w:val="0"/>
        </w:rPr>
        <w:br/>
      </w:r>
      <w:r>
        <w:rPr>
          <w:b/>
          <w:i w:val="0"/>
        </w:rPr>
        <w:t>------------------------------</w:t>
      </w:r>
      <w:r>
        <w:rPr>
          <w:b w:val="0"/>
          <w:i w:val="0"/>
        </w:rPr>
        <w:br/>
      </w:r>
      <w:r>
        <w:rPr>
          <w:b/>
          <w:i w:val="0"/>
        </w:rPr>
        <w:t>BỘ TRƯỞNG BỘ TÀI CHÍNH</w:t>
      </w:r>
      <w:r>
        <w:rPr>
          <w:b w:val="0"/>
          <w:i w:val="0"/>
        </w:rPr>
        <w:br/>
      </w:r>
      <w:r>
        <w:rPr>
          <w:b w:val="0"/>
          <w:i w:val="0"/>
        </w:rPr>
        <w:t>- Căn cứ Nghị định số 118/2008/NĐ-CP ngày 27/11/2008 của Chính phủ quy định về chức năng, nhiệm vụ, quyền hạn và cơ cấu tổ chức Bộ Tài chính;</w:t>
      </w:r>
      <w:r>
        <w:rPr>
          <w:b w:val="0"/>
          <w:i w:val="0"/>
        </w:rPr>
        <w:br/>
      </w:r>
      <w:r>
        <w:rPr>
          <w:b w:val="0"/>
          <w:i w:val="0"/>
        </w:rPr>
        <w:t>- Căn cứ Thông tư số 203/2009/TT-BTC ngày 20/10/2009 của Bộ Tài chính hướng dẫn chế độ quản lý, sử dụng và trích khấu hao tài sản cố định;</w:t>
      </w:r>
      <w:r>
        <w:rPr>
          <w:b w:val="0"/>
          <w:i w:val="0"/>
        </w:rPr>
        <w:br/>
      </w:r>
      <w:r>
        <w:rPr>
          <w:b w:val="0"/>
          <w:i w:val="0"/>
        </w:rPr>
        <w:t>- Theo đề nghị của Cục trưởng Cục Tài chính doanh nghiệp,</w:t>
      </w:r>
      <w:r>
        <w:rPr>
          <w:b w:val="0"/>
          <w:i w:val="0"/>
        </w:rPr>
        <w:br/>
      </w:r>
      <w:r>
        <w:rPr>
          <w:b/>
          <w:i w:val="0"/>
        </w:rPr>
        <w:t>QUYẾT ĐỊNH:</w:t>
      </w:r>
      <w:r>
        <w:rPr>
          <w:b w:val="0"/>
          <w:i w:val="0"/>
        </w:rPr>
        <w:br/>
      </w:r>
      <w:r>
        <w:rPr>
          <w:b/>
          <w:i w:val="0"/>
        </w:rPr>
        <w:t>Điều 1.</w:t>
      </w:r>
      <w:r>
        <w:rPr>
          <w:b w:val="0"/>
          <w:i w:val="0"/>
        </w:rPr>
        <w:t xml:space="preserve"> Đính chính Phụ lục 2 “Phương pháp trích khấu hao tài sản cố định” ban hành kèm theo Thông tư số 203/2009/TT-BTC ngày 20/10/2009 của Bộ Tài chính hướng dẫn chế độ quản lý, sử dụng và trích khấu hao tài sản cố định, cụ thể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Đã in</w:t>
      </w:r>
      <w:r>
        <w:rPr>
          <w:b w:val="0"/>
          <w:i w:val="0"/>
        </w:rPr>
        <w:br/>
      </w:r>
      <w:r>
        <w:rPr>
          <w:b w:val="0"/>
          <w:i w:val="0"/>
        </w:rPr>
        <w:br/>
      </w:r>
      <w:r>
        <w:rPr>
          <w:b/>
          <w:i w:val="0"/>
        </w:rPr>
        <w:t>Sửa lại là</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Tại tiết a điểm 4 mục I</w:t>
      </w:r>
      <w:r>
        <w:rPr>
          <w:b w:val="0"/>
          <w:i w:val="0"/>
        </w:rPr>
        <w:br/>
      </w:r>
      <w:r>
        <w:rPr>
          <w:b w:val="0"/>
          <w:i w:val="0"/>
        </w:rPr>
        <w:br/>
      </w:r>
      <w:r>
        <w:rPr>
          <w:b w:val="0"/>
          <w:i w:val="0"/>
        </w:rPr>
        <w:t>1/1/2009</w:t>
      </w:r>
      <w:r>
        <w:rPr>
          <w:b w:val="0"/>
          <w:i w:val="0"/>
        </w:rPr>
        <w:br/>
      </w:r>
      <w:r>
        <w:rPr>
          <w:b w:val="0"/>
          <w:i w:val="0"/>
        </w:rPr>
        <w:br/>
      </w:r>
      <w:r>
        <w:rPr>
          <w:b w:val="0"/>
          <w:i w:val="0"/>
        </w:rPr>
        <w:t>1/1/2010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Tại tiết b điểm 4 mục I</w:t>
      </w:r>
      <w:r>
        <w:rPr>
          <w:b w:val="0"/>
          <w:i w:val="0"/>
        </w:rPr>
        <w:br/>
      </w:r>
      <w:r>
        <w:rPr>
          <w:b w:val="0"/>
          <w:i w:val="0"/>
        </w:rPr>
        <w:br/>
      </w:r>
      <w:r>
        <w:rPr>
          <w:b w:val="0"/>
          <w:i w:val="0"/>
        </w:rPr>
        <w:t>1/1/2014</w:t>
      </w:r>
      <w:r>
        <w:rPr>
          <w:b w:val="0"/>
          <w:i w:val="0"/>
        </w:rPr>
        <w:br/>
      </w:r>
      <w:r>
        <w:rPr>
          <w:b w:val="0"/>
          <w:i w:val="0"/>
        </w:rPr>
        <w:br/>
      </w:r>
      <w:r>
        <w:rPr>
          <w:b w:val="0"/>
          <w:i w:val="0"/>
        </w:rPr>
        <w:t>1/1/2015</w:t>
      </w:r>
      <w:r>
        <w:rPr>
          <w:b w:val="0"/>
          <w:i w:val="0"/>
        </w:rPr>
        <w:br/>
      </w:r>
      <w:r>
        <w:rPr>
          <w:b w:val="0"/>
          <w:i w:val="0"/>
        </w:rPr>
        <w:br/>
      </w:r>
      <w:r>
        <w:rPr>
          <w:b w:val="0"/>
          <w:i w:val="0"/>
        </w:rPr>
        <w:br/>
      </w:r>
      <w:r>
        <w:rPr>
          <w:b w:val="0"/>
          <w:i w:val="0"/>
        </w:rPr>
        <w:br/>
      </w:r>
      <w:r>
        <w:rPr>
          <w:b w:val="0"/>
          <w:i w:val="0"/>
        </w:rPr>
        <w:t>Từ năm 2014 trở đi</w:t>
      </w:r>
      <w:r>
        <w:rPr>
          <w:b w:val="0"/>
          <w:i w:val="0"/>
        </w:rPr>
        <w:br/>
      </w:r>
      <w:r>
        <w:rPr>
          <w:b w:val="0"/>
          <w:i w:val="0"/>
        </w:rPr>
        <w:br/>
      </w:r>
      <w:r>
        <w:rPr>
          <w:b w:val="0"/>
          <w:i w:val="0"/>
        </w:rPr>
        <w:t>Từ năm 2015 trở đi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Tại điểm 5 mục I</w:t>
      </w:r>
      <w:r>
        <w:rPr>
          <w:b w:val="0"/>
          <w:i w:val="0"/>
        </w:rPr>
        <w:br/>
      </w:r>
      <w:r>
        <w:rPr>
          <w:b w:val="0"/>
          <w:i w:val="0"/>
        </w:rPr>
        <w:br/>
      </w:r>
      <w:r>
        <w:rPr>
          <w:b w:val="0"/>
          <w:i w:val="0"/>
        </w:rPr>
        <w:t>1/1/2009</w:t>
      </w:r>
      <w:r>
        <w:rPr>
          <w:b w:val="0"/>
          <w:i w:val="0"/>
        </w:rPr>
        <w:br/>
      </w:r>
      <w:r>
        <w:rPr>
          <w:b w:val="0"/>
          <w:i w:val="0"/>
        </w:rPr>
        <w:br/>
      </w:r>
      <w:r>
        <w:rPr>
          <w:b w:val="0"/>
          <w:i w:val="0"/>
        </w:rPr>
        <w:t>1/1/2010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Tại tiết a điểm 5 mục I (phần giải thích công thức)</w:t>
      </w:r>
      <w:r>
        <w:rPr>
          <w:b w:val="0"/>
          <w:i w:val="0"/>
        </w:rPr>
        <w:br/>
      </w:r>
      <w:r>
        <w:rPr>
          <w:b w:val="0"/>
          <w:i w:val="0"/>
        </w:rPr>
        <w:br/>
      </w:r>
      <w:r>
        <w:rPr>
          <w:b w:val="0"/>
          <w:i w:val="0"/>
        </w:rPr>
        <w:t>ban hành kèm theo Thông tư số 203/2009/TT-BTC</w:t>
      </w:r>
      <w:r>
        <w:rPr>
          <w:b w:val="0"/>
          <w:i w:val="0"/>
        </w:rPr>
        <w:br/>
      </w:r>
      <w:r>
        <w:rPr>
          <w:b w:val="0"/>
          <w:i w:val="0"/>
        </w:rPr>
        <w:br/>
      </w:r>
      <w:r>
        <w:rPr>
          <w:b w:val="0"/>
          <w:i w:val="0"/>
        </w:rPr>
        <w:t>ban hành kèm theo Quyết định số 206/2003/TT-BTC</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Tại tiết b điểm 5 mục I (phần ví dụ)</w:t>
      </w:r>
      <w:r>
        <w:rPr>
          <w:b w:val="0"/>
          <w:i w:val="0"/>
        </w:rPr>
        <w:br/>
      </w:r>
      <w:r>
        <w:rPr>
          <w:b w:val="0"/>
          <w:i w:val="0"/>
        </w:rPr>
        <w:br/>
      </w:r>
      <w:r>
        <w:rPr>
          <w:b w:val="0"/>
          <w:i w:val="0"/>
        </w:rPr>
        <w:t>Ví dụ: Doanh nghiệp sử dụng một máy dệt có nguyên giá 600 triệu đồng từ ngày 01/01/2007</w:t>
      </w:r>
      <w:r>
        <w:rPr>
          <w:b/>
          <w:i/>
        </w:rPr>
        <w:t>.</w:t>
      </w:r>
      <w:r>
        <w:rPr>
          <w:b w:val="0"/>
          <w:i w:val="0"/>
        </w:rPr>
        <w:t xml:space="preserve"> Thời gian sử dụng xác định theo quy định tại Phụ lục 1 ban hành kèm theo Thông tư số 203/2009/TT-BTC là 10 năm. Thời gian đã sử dụng của máy dệt này tính đến hết ngày 31/12/2008 là 2 năm. Số khấu hao luỹ kế là 120 triệu đồng.</w:t>
      </w:r>
      <w:r>
        <w:rPr>
          <w:b w:val="0"/>
          <w:i w:val="0"/>
        </w:rPr>
        <w:br/>
      </w:r>
      <w:r>
        <w:rPr>
          <w:b w:val="0"/>
          <w:i w:val="0"/>
        </w:rPr>
        <w:br/>
      </w:r>
      <w:r>
        <w:rPr>
          <w:b w:val="0"/>
          <w:i w:val="0"/>
        </w:rPr>
        <w:t>Ví dụ: Doanh nghiệp sử dụng một máy dệt có nguyên giá 600 triệu đồng từ ngày 01/01/2008. Thời gian sử dụng xác định theo quy định tại Phụ lục 1 ban hành kèm theo Quyết định số 206/2003/QĐ-BTC là 10 năm. Thời gian đã sử dụng của máy dệt này tính đến hết ngày 31/12/2009 là 2 năm. Số khấu hao luỹ kế là 120 triệu đồng.</w:t>
      </w:r>
      <w:r>
        <w:rPr>
          <w:b w:val="0"/>
          <w:i w:val="0"/>
        </w:rPr>
        <w:br/>
      </w:r>
      <w:r>
        <w:rPr>
          <w:b w:val="0"/>
          <w:i w:val="0"/>
        </w:rPr>
        <w:br/>
      </w:r>
      <w:r>
        <w:rPr>
          <w:b w:val="0"/>
          <w:i w:val="0"/>
        </w:rPr>
        <w:br/>
      </w:r>
      <w:r>
        <w:rPr>
          <w:b w:val="0"/>
          <w:i w:val="0"/>
        </w:rPr>
        <w:br/>
      </w:r>
      <w:r>
        <w:rPr>
          <w:b w:val="0"/>
          <w:i w:val="0"/>
        </w:rPr>
        <w:t xml:space="preserve">- Doanh nghiệp xác định thời gian sử dụng của máy dệt theo quy định tại Phụ lục 1 ban hành kèm theo Thông tư số 203/2009/TT-BTC là 5 năm. </w:t>
      </w:r>
      <w:r>
        <w:rPr>
          <w:b w:val="0"/>
          <w:i w:val="0"/>
        </w:rPr>
        <w:br/>
      </w:r>
      <w:r>
        <w:rPr>
          <w:b w:val="0"/>
          <w:i w:val="0"/>
        </w:rPr>
        <w:br/>
      </w:r>
      <w:r>
        <w:rPr>
          <w:b w:val="0"/>
          <w:i w:val="0"/>
        </w:rPr>
        <w:t xml:space="preserve">- Doanh nghiệp xác định thời gian sử dụng của máy dệt là 5 năm.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2.</w:t>
      </w:r>
      <w:r>
        <w:rPr>
          <w:b w:val="0"/>
          <w:i w:val="0"/>
        </w:rPr>
        <w:t xml:space="preserve"> Quyết định này có hiệu lực thi hành cùng thời điểm hiệu lực của Thông tư số 203/2009/TT-BTC ngày 20/10/2009 của Bộ Tài chính.</w:t>
      </w:r>
      <w:r>
        <w:rPr>
          <w:b w:val="0"/>
          <w:i w:val="0"/>
        </w:rPr>
        <w:br/>
      </w:r>
      <w:r>
        <w:rPr>
          <w:b/>
          <w:i w:val="0"/>
        </w:rPr>
        <w:t>Điều 3.</w:t>
      </w:r>
      <w:r>
        <w:rPr>
          <w:b w:val="0"/>
          <w:i w:val="0"/>
        </w:rPr>
        <w:t xml:space="preserve"> Chánh văn phòng Bộ, Cục trưởng Cục Tài chính doanh nghiệp, Thủ trưởng các đơn vị có liên quan thuộc Bộ Tài chính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Chính phủ và các Phó TTCP;</w:t>
      </w:r>
      <w:r>
        <w:rPr>
          <w:b w:val="0"/>
          <w:i w:val="0"/>
        </w:rPr>
        <w:br/>
      </w:r>
      <w:r>
        <w:rPr>
          <w:b w:val="0"/>
          <w:i w:val="0"/>
        </w:rPr>
        <w:t>- Văn phòng TW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 cơ quan</w:t>
      </w:r>
      <w:r>
        <w:rPr>
          <w:b w:val="0"/>
          <w:i w:val="0"/>
        </w:rPr>
        <w:br/>
      </w:r>
      <w:r>
        <w:rPr>
          <w:b w:val="0"/>
          <w:i w:val="0"/>
        </w:rPr>
        <w:t>thuộc Chính phủ;</w:t>
      </w:r>
      <w:r>
        <w:rPr>
          <w:b w:val="0"/>
          <w:i w:val="0"/>
        </w:rPr>
        <w:br/>
      </w:r>
      <w:r>
        <w:rPr>
          <w:b w:val="0"/>
          <w:i w:val="0"/>
        </w:rPr>
        <w:t>- Cơ quan Trung ương của các đoàn thể;</w:t>
      </w:r>
      <w:r>
        <w:rPr>
          <w:b w:val="0"/>
          <w:i w:val="0"/>
        </w:rPr>
        <w:br/>
      </w:r>
      <w:r>
        <w:rPr>
          <w:b w:val="0"/>
          <w:i w:val="0"/>
        </w:rPr>
        <w:t>- UBND, Sở Tài chính, Cục Thuế, Kho bạc nhà nước các tỉnh, thành phố trực thuộc TW;</w:t>
      </w:r>
      <w:r>
        <w:rPr>
          <w:b w:val="0"/>
          <w:i w:val="0"/>
        </w:rPr>
        <w:br/>
      </w:r>
      <w:r>
        <w:rPr>
          <w:b w:val="0"/>
          <w:i w:val="0"/>
        </w:rPr>
        <w:t>- Website Chính phủ; Công báo;</w:t>
      </w:r>
      <w:r>
        <w:rPr>
          <w:b w:val="0"/>
          <w:i w:val="0"/>
        </w:rPr>
        <w:br/>
      </w:r>
      <w:r>
        <w:rPr>
          <w:b w:val="0"/>
          <w:i w:val="0"/>
        </w:rPr>
        <w:t>- Cục Kiểm tra văn bản (Bộ Tư pháp);</w:t>
      </w:r>
      <w:r>
        <w:rPr>
          <w:b w:val="0"/>
          <w:i w:val="0"/>
        </w:rPr>
        <w:br/>
      </w:r>
      <w:r>
        <w:rPr>
          <w:b w:val="0"/>
          <w:i w:val="0"/>
        </w:rPr>
        <w:t>- Các Tập đoàn kinh tế, Tổng công ty nhà nước, Hội Kế toán và Kiểm toán VN, Hội Kiểm toán viên hành nghề VN (VACPA)</w:t>
      </w:r>
      <w:r>
        <w:rPr>
          <w:b w:val="0"/>
          <w:i w:val="0"/>
        </w:rPr>
        <w:br/>
      </w:r>
      <w:r>
        <w:rPr>
          <w:b w:val="0"/>
          <w:i w:val="0"/>
        </w:rPr>
        <w:t>- Các đơn vị thuộc Bộ Tài chính;</w:t>
      </w:r>
      <w:r>
        <w:rPr>
          <w:b w:val="0"/>
          <w:i w:val="0"/>
        </w:rPr>
        <w:br/>
      </w:r>
      <w:r>
        <w:rPr>
          <w:b w:val="0"/>
          <w:i w:val="0"/>
        </w:rPr>
        <w:t>- Website Bộ Tài chính;</w:t>
      </w:r>
      <w:r>
        <w:rPr>
          <w:b w:val="0"/>
          <w:i w:val="0"/>
        </w:rPr>
        <w:br/>
      </w:r>
      <w:r>
        <w:rPr>
          <w:b w:val="0"/>
          <w:i w:val="0"/>
        </w:rPr>
        <w:t>- Lưu: VT, Cục TCDN.</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Trần Văn Hiếu</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t>Số: 2841/QĐ-BTC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16 tháng 11 năm 2009</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Đã in</w:t>
            </w:r>
          </w:p>
        </w:tc>
        <w:tc>
          <w:tcPr>
            <w:tcW w:type="dxa" w:w="2160"/>
          </w:tcPr>
          <w:p>
            <w:r>
              <w:rPr>
                <w:b w:val="0"/>
                <w:i w:val="0"/>
              </w:rPr>
              <w:br/>
            </w:r>
            <w:r>
              <w:rPr>
                <w:b/>
                <w:i w:val="0"/>
              </w:rPr>
              <w:t>Sửa lại là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Chính phủ và các Phó TTCP;</w:t>
            </w:r>
            <w:r>
              <w:rPr>
                <w:b w:val="0"/>
                <w:i w:val="0"/>
              </w:rPr>
              <w:br/>
            </w:r>
            <w:r>
              <w:rPr>
                <w:b w:val="0"/>
                <w:i w:val="0"/>
              </w:rPr>
              <w:t>- Văn phòng TW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 cơ quan</w:t>
            </w:r>
            <w:r>
              <w:rPr>
                <w:b w:val="0"/>
                <w:i w:val="0"/>
              </w:rPr>
              <w:br/>
            </w:r>
            <w:r>
              <w:rPr>
                <w:b w:val="0"/>
                <w:i w:val="0"/>
              </w:rPr>
              <w:t>thuộc Chính phủ;</w:t>
            </w:r>
            <w:r>
              <w:rPr>
                <w:b w:val="0"/>
                <w:i w:val="0"/>
              </w:rPr>
              <w:br/>
            </w:r>
            <w:r>
              <w:rPr>
                <w:b w:val="0"/>
                <w:i w:val="0"/>
              </w:rPr>
              <w:t>- Cơ quan Trung ương của các đoàn thể;</w:t>
            </w:r>
            <w:r>
              <w:rPr>
                <w:b w:val="0"/>
                <w:i w:val="0"/>
              </w:rPr>
              <w:br/>
            </w:r>
            <w:r>
              <w:rPr>
                <w:b w:val="0"/>
                <w:i w:val="0"/>
              </w:rPr>
              <w:t>- UBND, Sở Tài chính, Cục Thuế, Kho bạc nhà nước các tỉnh, thành phố trực thuộc TW;</w:t>
            </w:r>
            <w:r>
              <w:rPr>
                <w:b w:val="0"/>
                <w:i w:val="0"/>
              </w:rPr>
              <w:br/>
            </w:r>
            <w:r>
              <w:rPr>
                <w:b w:val="0"/>
                <w:i w:val="0"/>
              </w:rPr>
              <w:t>- Website Chính phủ; Công báo;</w:t>
            </w:r>
            <w:r>
              <w:rPr>
                <w:b w:val="0"/>
                <w:i w:val="0"/>
              </w:rPr>
              <w:br/>
            </w:r>
            <w:r>
              <w:rPr>
                <w:b w:val="0"/>
                <w:i w:val="0"/>
              </w:rPr>
              <w:t>- Cục Kiểm tra văn bản (Bộ Tư pháp);</w:t>
            </w:r>
            <w:r>
              <w:rPr>
                <w:b w:val="0"/>
                <w:i w:val="0"/>
              </w:rPr>
              <w:br/>
            </w:r>
            <w:r>
              <w:rPr>
                <w:b w:val="0"/>
                <w:i w:val="0"/>
              </w:rPr>
              <w:t>- Các Tập đoàn kinh tế, Tổng công ty nhà nước, Hội Kế toán và Kiểm toán VN, Hội Kiểm toán viên hành nghề VN (VACPA)</w:t>
            </w:r>
            <w:r>
              <w:rPr>
                <w:b w:val="0"/>
                <w:i w:val="0"/>
              </w:rPr>
              <w:br/>
            </w:r>
            <w:r>
              <w:rPr>
                <w:b w:val="0"/>
                <w:i w:val="0"/>
              </w:rPr>
              <w:t>- Các đơn vị thuộc Bộ Tài chính;</w:t>
            </w:r>
            <w:r>
              <w:rPr>
                <w:b w:val="0"/>
                <w:i w:val="0"/>
              </w:rPr>
              <w:br/>
            </w:r>
            <w:r>
              <w:rPr>
                <w:b w:val="0"/>
                <w:i w:val="0"/>
              </w:rPr>
              <w:t>- Website Bộ Tài chính;</w:t>
            </w:r>
            <w:r>
              <w:rPr>
                <w:b w:val="0"/>
                <w:i w:val="0"/>
              </w:rPr>
              <w:br/>
            </w:r>
            <w:r>
              <w:rPr>
                <w:b w:val="0"/>
                <w:i w:val="0"/>
              </w:rPr>
              <w:t>- Lưu: VT, Cục TCDN.</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Trần Văn Hiếu</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