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2858/QĐ-BTC Đính chính Khoản 1 Mục III Thông tư số 194/2009/TT-BTC ngày 02/10/2009 của Bộ Tài chính hướng dẫn chào mua công khai cổ phiếu của công ty đại chúng, chứng chỉ quỹ của quỹ đầu tư chứng khoán đại chúng dạng đóng</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w:t>
      </w:r>
      <w:r>
        <w:rPr>
          <w:b w:val="0"/>
          <w:i w:val="0"/>
        </w:rPr>
        <w:br/>
      </w:r>
      <w:r>
        <w:rPr>
          <w:b w:val="0"/>
          <w:i w:val="0"/>
        </w:rPr>
        <w:t>Số: 2858/QĐ-BTC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xml:space="preserve"> Hà Nội, ngày 17 tháng 11 năm 2009</w:t>
      </w:r>
      <w:r>
        <w:rPr>
          <w:b w:val="0"/>
          <w:i w:val="0"/>
        </w:rPr>
        <w:br/>
      </w:r>
      <w:r>
        <w:rPr>
          <w:b w:val="0"/>
          <w:i w:val="0"/>
        </w:rPr>
        <w:br/>
      </w:r>
      <w:r>
        <w:rPr>
          <w:b w:val="0"/>
          <w:i w:val="0"/>
        </w:rPr>
        <w:br/>
      </w:r>
      <w:r>
        <w:rPr>
          <w:b w:val="0"/>
          <w:i w:val="0"/>
        </w:rPr>
        <w:br/>
      </w:r>
      <w:r>
        <w:rPr>
          <w:b/>
          <w:i w:val="0"/>
        </w:rPr>
        <w:t>QUYẾT ĐỊNH</w:t>
      </w:r>
      <w:r>
        <w:rPr>
          <w:b w:val="0"/>
          <w:i w:val="0"/>
        </w:rPr>
        <w:br/>
      </w:r>
      <w:r>
        <w:rPr>
          <w:b/>
          <w:i w:val="0"/>
        </w:rPr>
        <w:t>Đính chính Khoản 1 Mục III Thông tư số 194/2009/TT-BTC ngày 02/10/2009 của Bộ Tài chính hướng dẫn chào mua công khai cổ phiếu của công ty đại chúng, chứng chỉ quỹ của quỹ đầu tư chứng khoán đại chúng dạng đóng</w:t>
      </w:r>
      <w:r>
        <w:rPr>
          <w:b w:val="0"/>
          <w:i w:val="0"/>
        </w:rPr>
        <w:br/>
      </w:r>
      <w:r>
        <w:rPr>
          <w:b/>
          <w:i w:val="0"/>
        </w:rPr>
        <w:t>___________________</w:t>
      </w:r>
      <w:r>
        <w:rPr>
          <w:b w:val="0"/>
          <w:i w:val="0"/>
        </w:rPr>
        <w:br/>
      </w:r>
      <w:r>
        <w:rPr>
          <w:b/>
          <w:i w:val="0"/>
        </w:rPr>
        <w:t>BỘ TRƯỞNG BỘ TÀI CHÍNH</w:t>
      </w:r>
      <w:r>
        <w:rPr>
          <w:b w:val="0"/>
          <w:i w:val="0"/>
        </w:rPr>
        <w:br/>
      </w:r>
      <w:r>
        <w:rPr>
          <w:b w:val="0"/>
          <w:i w:val="0"/>
        </w:rPr>
        <w:t>- Căn cứ Nghị định số 118/2008/NĐ-CP ngày 27/11/2008 của Chính phủ quy định chức năng, nhiệm vụ, quyền hạn và cơ cấu tổ chức của Bộ Tài chính;</w:t>
      </w:r>
      <w:r>
        <w:rPr>
          <w:b w:val="0"/>
          <w:i w:val="0"/>
        </w:rPr>
        <w:br/>
      </w:r>
      <w:r>
        <w:rPr>
          <w:b w:val="0"/>
          <w:i w:val="0"/>
        </w:rPr>
        <w:t>- Căn cứ Thông tư số 194/2009/TT-BTC ngày 02/10/2009 của Bộ Tài chính hướng dẫn chào mua công khai cổ phiếu của công ty đại chúng, chứng chỉ quỹ của quỹ đầu tư chứng khoán đại chúng dạng đóng;</w:t>
      </w:r>
      <w:r>
        <w:rPr>
          <w:b w:val="0"/>
          <w:i w:val="0"/>
        </w:rPr>
        <w:br/>
      </w:r>
      <w:r>
        <w:rPr>
          <w:b w:val="0"/>
          <w:i w:val="0"/>
        </w:rPr>
        <w:t>- Theo đề nghị của Chủ tịch Ủy ban Chứng khoán Nhà nước,</w:t>
      </w:r>
      <w:r>
        <w:rPr>
          <w:b w:val="0"/>
          <w:i w:val="0"/>
        </w:rPr>
        <w:br/>
      </w:r>
      <w:r>
        <w:rPr>
          <w:b/>
          <w:i w:val="0"/>
        </w:rPr>
        <w:t>QUYẾT ĐỊNH:</w:t>
      </w:r>
      <w:r>
        <w:rPr>
          <w:b w:val="0"/>
          <w:i w:val="0"/>
        </w:rPr>
        <w:br/>
      </w:r>
      <w:r>
        <w:rPr>
          <w:b/>
          <w:i w:val="0"/>
        </w:rPr>
        <w:t>Điều 1</w:t>
      </w:r>
      <w:r>
        <w:rPr>
          <w:b w:val="0"/>
          <w:i w:val="0"/>
        </w:rPr>
        <w:t>. Đính chính Khoản 1 Mục III “Tổ chức thực hiện” của Thông tư số 194/2009/TT-BTC ngày 02/10/2009 của Bộ Tài chính hướng dẫn chào mua công khai cổ phiếu của công ty đại chúng, chứng chỉ quỹ của quỹ đầu tư chứng khoán đại chúng dạng đóng, cụ thể như sau:</w:t>
      </w:r>
      <w:r>
        <w:rPr>
          <w:b w:val="0"/>
          <w:i w:val="0"/>
        </w:rPr>
        <w:br/>
      </w:r>
      <w:r>
        <w:rPr>
          <w:b w:val="0"/>
          <w:i w:val="0"/>
        </w:rPr>
        <w:t>Nội dung đã in: Thông tư này thay thế Thông tư số 18/2007/TT-BTC ngày 13 tháng 3 năm 2007 của Bộ Tài chính hướng dẫn việc mua, bán lại cổ phiếu và một số trường hợp phát hành thêm cổ phiếu của công ty đại chúng.</w:t>
      </w:r>
      <w:r>
        <w:rPr>
          <w:b w:val="0"/>
          <w:i w:val="0"/>
        </w:rPr>
        <w:br/>
      </w:r>
      <w:r>
        <w:rPr>
          <w:b w:val="0"/>
          <w:i w:val="0"/>
        </w:rPr>
        <w:t>Nội dung sửa lại là: Thông tư này bãi bỏ các quy định về chào mua công khai quy định tại Mục III Thông tư số 18/2007/TT-BTC ngày 13 tháng 3 năm 2007 của Bộ Tài chính hướng dẫn việc mua, bán lại cổ phiếu và một số trường hợp phát hành thêm cổ phiếu của công ty đại chúng.</w:t>
      </w:r>
      <w:r>
        <w:rPr>
          <w:b w:val="0"/>
          <w:i w:val="0"/>
        </w:rPr>
        <w:br/>
      </w:r>
      <w:r>
        <w:rPr>
          <w:b/>
          <w:i w:val="0"/>
        </w:rPr>
        <w:t>Điều 2</w:t>
      </w:r>
      <w:r>
        <w:rPr>
          <w:b w:val="0"/>
          <w:i w:val="0"/>
        </w:rPr>
        <w:t>. Quyết định này có hiệu lực thi hành cùng thời điểm hiệu lực của Thông tư số 194/2009/TT-BTC ngày 02/10/2009 của Bộ tài chính.</w:t>
      </w:r>
      <w:r>
        <w:rPr>
          <w:b w:val="0"/>
          <w:i w:val="0"/>
        </w:rPr>
        <w:br/>
      </w:r>
      <w:r>
        <w:rPr>
          <w:b/>
          <w:i w:val="0"/>
        </w:rPr>
        <w:t>Điều 3</w:t>
      </w:r>
      <w:r>
        <w:rPr>
          <w:b w:val="0"/>
          <w:i w:val="0"/>
        </w:rPr>
        <w:t>. Chánh Văn phòng Bộ, Chủ tịch Uỷ ban Chứng khoán Nhà nước, Thủ trưởng các đơn vị liên quan thuộc Bộ Tài chính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w:t>
            </w:r>
            <w:r>
              <w:rPr>
                <w:b w:val="0"/>
                <w:i w:val="0"/>
              </w:rPr>
              <w:br/>
            </w:r>
            <w:r>
              <w:rPr>
                <w:b w:val="0"/>
                <w:i w:val="0"/>
              </w:rPr>
              <w:t>Số: 2858/QĐ-BTC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xml:space="preserve"> Hà Nội, ngày 17 tháng 11 năm 2009</w:t>
            </w:r>
          </w:p>
        </w:tc>
      </w:tr>
    </w:tbl>
    <w:p>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w:t>
      </w:r>
      <w:r>
        <w:rPr>
          <w:b w:val="0"/>
          <w:i w:val="0"/>
        </w:rPr>
        <w:t xml:space="preserve">          </w:t>
      </w:r>
      <w:r>
        <w:rPr>
          <w:b w:val="0"/>
          <w:i w:val="0"/>
        </w:rPr>
        <w:t>Văn phòng Trung ương và các Ban của Đảng;</w:t>
      </w:r>
      <w:r>
        <w:rPr>
          <w:b w:val="0"/>
          <w:i w:val="0"/>
        </w:rPr>
        <w:br/>
      </w:r>
      <w:r>
        <w:rPr>
          <w:b w:val="0"/>
          <w:i w:val="0"/>
        </w:rPr>
        <w:t>-</w:t>
      </w:r>
      <w:r>
        <w:rPr>
          <w:b w:val="0"/>
          <w:i w:val="0"/>
        </w:rPr>
        <w:t xml:space="preserve">          </w:t>
      </w:r>
      <w:r>
        <w:rPr>
          <w:b w:val="0"/>
          <w:i w:val="0"/>
        </w:rPr>
        <w:t>Văn phòng Quốc hội;</w:t>
      </w:r>
      <w:r>
        <w:rPr>
          <w:b w:val="0"/>
          <w:i w:val="0"/>
        </w:rPr>
        <w:br/>
      </w:r>
      <w:r>
        <w:rPr>
          <w:b w:val="0"/>
          <w:i w:val="0"/>
        </w:rPr>
        <w:t>-</w:t>
      </w:r>
      <w:r>
        <w:rPr>
          <w:b w:val="0"/>
          <w:i w:val="0"/>
        </w:rPr>
        <w:t xml:space="preserve">          </w:t>
      </w:r>
      <w:r>
        <w:rPr>
          <w:b w:val="0"/>
          <w:i w:val="0"/>
        </w:rPr>
        <w:t>Văn phòng Chính phủ;</w:t>
      </w:r>
      <w:r>
        <w:rPr>
          <w:b w:val="0"/>
          <w:i w:val="0"/>
        </w:rPr>
        <w:br/>
      </w:r>
      <w:r>
        <w:rPr>
          <w:b w:val="0"/>
          <w:i w:val="0"/>
        </w:rPr>
        <w:t>-</w:t>
      </w:r>
      <w:r>
        <w:rPr>
          <w:b w:val="0"/>
          <w:i w:val="0"/>
        </w:rPr>
        <w:t xml:space="preserve">          </w:t>
      </w:r>
      <w:r>
        <w:rPr>
          <w:b w:val="0"/>
          <w:i w:val="0"/>
        </w:rPr>
        <w:t>Thủ tướng, các Phó Thủ tướng</w:t>
      </w:r>
      <w:r>
        <w:rPr>
          <w:b w:val="0"/>
          <w:i w:val="0"/>
        </w:rPr>
        <w:t xml:space="preserve">  </w:t>
      </w:r>
      <w:r>
        <w:rPr>
          <w:b w:val="0"/>
          <w:i w:val="0"/>
        </w:rPr>
        <w:t>Chính phủ;</w:t>
      </w:r>
      <w:r>
        <w:rPr>
          <w:b w:val="0"/>
          <w:i w:val="0"/>
        </w:rPr>
        <w:br/>
      </w:r>
      <w:r>
        <w:rPr>
          <w:b w:val="0"/>
          <w:i w:val="0"/>
        </w:rPr>
        <w:t>-</w:t>
      </w:r>
      <w:r>
        <w:rPr>
          <w:b w:val="0"/>
          <w:i w:val="0"/>
        </w:rPr>
        <w:t xml:space="preserve">          </w:t>
      </w:r>
      <w:r>
        <w:rPr>
          <w:b w:val="0"/>
          <w:i w:val="0"/>
        </w:rPr>
        <w:t>Văn phòng Chủ tịch nước;</w:t>
      </w:r>
      <w:r>
        <w:rPr>
          <w:b w:val="0"/>
          <w:i w:val="0"/>
        </w:rPr>
        <w:br/>
      </w:r>
      <w:r>
        <w:rPr>
          <w:b w:val="0"/>
          <w:i w:val="0"/>
        </w:rPr>
        <w:t>-</w:t>
      </w:r>
      <w:r>
        <w:rPr>
          <w:b w:val="0"/>
          <w:i w:val="0"/>
        </w:rPr>
        <w:t xml:space="preserve">          </w:t>
      </w:r>
      <w:r>
        <w:rPr>
          <w:b w:val="0"/>
          <w:i w:val="0"/>
        </w:rPr>
        <w:t>Các Bộ, cơ quan ngang Bộ,</w:t>
      </w:r>
      <w:r>
        <w:br/>
      </w:r>
      <w:r>
        <w:rPr>
          <w:b w:val="0"/>
          <w:i w:val="0"/>
        </w:rPr>
        <w:br/>
        <w:t xml:space="preserve">           cơ quan thuộc Chính phủ;</w:t>
      </w:r>
      <w:r>
        <w:rPr>
          <w:b w:val="0"/>
          <w:i w:val="0"/>
        </w:rPr>
        <w:br/>
      </w:r>
      <w:r>
        <w:rPr>
          <w:b w:val="0"/>
          <w:i w:val="0"/>
        </w:rPr>
        <w:t>-</w:t>
      </w:r>
      <w:r>
        <w:rPr>
          <w:b w:val="0"/>
          <w:i w:val="0"/>
        </w:rPr>
        <w:t xml:space="preserve">          </w:t>
      </w:r>
      <w:r>
        <w:rPr>
          <w:b w:val="0"/>
          <w:i w:val="0"/>
        </w:rPr>
        <w:t>Văn phòng BCĐTW về phòng chống tham nhũng</w:t>
      </w:r>
      <w:r>
        <w:rPr>
          <w:b w:val="0"/>
          <w:i w:val="0"/>
        </w:rPr>
        <w:br/>
      </w:r>
      <w:r>
        <w:rPr>
          <w:b w:val="0"/>
          <w:i w:val="0"/>
        </w:rPr>
        <w:t>-</w:t>
      </w:r>
      <w:r>
        <w:rPr>
          <w:b w:val="0"/>
          <w:i w:val="0"/>
        </w:rPr>
        <w:t xml:space="preserve">          </w:t>
      </w:r>
      <w:r>
        <w:rPr>
          <w:b w:val="0"/>
          <w:i w:val="0"/>
        </w:rPr>
        <w:t>Viện Kiểm sát nhân dân tối cao;</w:t>
      </w:r>
      <w:r>
        <w:rPr>
          <w:b w:val="0"/>
          <w:i w:val="0"/>
        </w:rPr>
        <w:br/>
      </w:r>
      <w:r>
        <w:rPr>
          <w:b w:val="0"/>
          <w:i w:val="0"/>
        </w:rPr>
        <w:t>-</w:t>
      </w:r>
      <w:r>
        <w:rPr>
          <w:b w:val="0"/>
          <w:i w:val="0"/>
        </w:rPr>
        <w:t xml:space="preserve">          </w:t>
      </w:r>
      <w:r>
        <w:rPr>
          <w:b w:val="0"/>
          <w:i w:val="0"/>
        </w:rPr>
        <w:t>Toà án nhân dân tối cao;</w:t>
      </w:r>
      <w:r>
        <w:rPr>
          <w:b w:val="0"/>
          <w:i w:val="0"/>
        </w:rPr>
        <w:br/>
      </w:r>
      <w:r>
        <w:rPr>
          <w:b w:val="0"/>
          <w:i w:val="0"/>
        </w:rPr>
        <w:t>-</w:t>
      </w:r>
      <w:r>
        <w:rPr>
          <w:b w:val="0"/>
          <w:i w:val="0"/>
        </w:rPr>
        <w:t xml:space="preserve">          </w:t>
      </w:r>
      <w:r>
        <w:rPr>
          <w:b w:val="0"/>
          <w:i w:val="0"/>
        </w:rPr>
        <w:t>Kiểm toán Nhà nước;</w:t>
      </w:r>
      <w:r>
        <w:rPr>
          <w:b w:val="0"/>
          <w:i w:val="0"/>
        </w:rPr>
        <w:br/>
      </w:r>
      <w:r>
        <w:rPr>
          <w:b w:val="0"/>
          <w:i w:val="0"/>
        </w:rPr>
        <w:t>-</w:t>
      </w:r>
      <w:r>
        <w:rPr>
          <w:b w:val="0"/>
          <w:i w:val="0"/>
        </w:rPr>
        <w:t xml:space="preserve">          </w:t>
      </w:r>
      <w:r>
        <w:rPr>
          <w:b w:val="0"/>
          <w:i w:val="0"/>
        </w:rPr>
        <w:t>HĐND, UBND các tỉnh, thành phố trực thuộc Trung ương;</w:t>
      </w:r>
      <w:r>
        <w:rPr>
          <w:b w:val="0"/>
          <w:i w:val="0"/>
        </w:rPr>
        <w:br/>
      </w:r>
      <w:r>
        <w:rPr>
          <w:b w:val="0"/>
          <w:i w:val="0"/>
        </w:rPr>
        <w:t>-</w:t>
      </w:r>
      <w:r>
        <w:rPr>
          <w:b w:val="0"/>
          <w:i w:val="0"/>
        </w:rPr>
        <w:t xml:space="preserve">          </w:t>
      </w:r>
      <w:r>
        <w:rPr>
          <w:b w:val="0"/>
          <w:i w:val="0"/>
        </w:rPr>
        <w:t>Công báo;</w:t>
      </w:r>
      <w:r>
        <w:rPr>
          <w:b w:val="0"/>
          <w:i w:val="0"/>
        </w:rPr>
        <w:br/>
      </w:r>
      <w:r>
        <w:rPr>
          <w:b w:val="0"/>
          <w:i w:val="0"/>
        </w:rPr>
        <w:t>-</w:t>
      </w:r>
      <w:r>
        <w:rPr>
          <w:b w:val="0"/>
          <w:i w:val="0"/>
        </w:rPr>
        <w:t xml:space="preserve">          </w:t>
      </w:r>
      <w:r>
        <w:rPr>
          <w:b w:val="0"/>
          <w:i w:val="0"/>
        </w:rPr>
        <w:t>Website Chính phủ;</w:t>
      </w:r>
      <w:r>
        <w:rPr>
          <w:b w:val="0"/>
          <w:i w:val="0"/>
        </w:rPr>
        <w:br/>
      </w:r>
      <w:r>
        <w:rPr>
          <w:b w:val="0"/>
          <w:i w:val="0"/>
        </w:rPr>
        <w:t>-</w:t>
      </w:r>
      <w:r>
        <w:rPr>
          <w:b w:val="0"/>
          <w:i w:val="0"/>
        </w:rPr>
        <w:t xml:space="preserve">          </w:t>
      </w:r>
      <w:r>
        <w:rPr>
          <w:b w:val="0"/>
          <w:i w:val="0"/>
        </w:rPr>
        <w:t>Cục Kiểm tra Văn bản (Bộ Tư pháp);</w:t>
      </w:r>
      <w:r>
        <w:rPr>
          <w:b w:val="0"/>
          <w:i w:val="0"/>
        </w:rPr>
        <w:br/>
      </w:r>
      <w:r>
        <w:rPr>
          <w:b w:val="0"/>
          <w:i w:val="0"/>
        </w:rPr>
        <w:t>-</w:t>
      </w:r>
      <w:r>
        <w:rPr>
          <w:b w:val="0"/>
          <w:i w:val="0"/>
        </w:rPr>
        <w:t xml:space="preserve">          </w:t>
      </w:r>
      <w:r>
        <w:rPr>
          <w:b w:val="0"/>
          <w:i w:val="0"/>
        </w:rPr>
        <w:t>Các đơn vị thuộc Bộ Tài chính;</w:t>
      </w:r>
      <w:r>
        <w:rPr>
          <w:b w:val="0"/>
          <w:i w:val="0"/>
        </w:rPr>
        <w:br/>
      </w:r>
      <w:r>
        <w:rPr>
          <w:b w:val="0"/>
          <w:i w:val="0"/>
        </w:rPr>
        <w:t>-</w:t>
      </w:r>
      <w:r>
        <w:rPr>
          <w:b w:val="0"/>
          <w:i w:val="0"/>
        </w:rPr>
        <w:t xml:space="preserve">          </w:t>
      </w:r>
      <w:r>
        <w:rPr>
          <w:b w:val="0"/>
          <w:i w:val="0"/>
        </w:rPr>
        <w:t>Website BTC;</w:t>
      </w:r>
      <w:r>
        <w:rPr>
          <w:b w:val="0"/>
          <w:i w:val="0"/>
        </w:rPr>
        <w:br/>
      </w:r>
      <w:r>
        <w:rPr>
          <w:b w:val="0"/>
          <w:i w:val="0"/>
        </w:rPr>
        <w:t>-</w:t>
      </w:r>
      <w:r>
        <w:rPr>
          <w:b w:val="0"/>
          <w:i w:val="0"/>
        </w:rPr>
        <w:t xml:space="preserve">          </w:t>
      </w:r>
      <w:r>
        <w:rPr>
          <w:b w:val="0"/>
          <w:i w:val="0"/>
        </w:rPr>
        <w:t>Lưu:</w:t>
      </w:r>
      <w:r>
        <w:rPr>
          <w:b w:val="0"/>
          <w:i w:val="0"/>
        </w:rPr>
        <w:t xml:space="preserve">  </w:t>
      </w:r>
      <w:r>
        <w:rPr>
          <w:b w:val="0"/>
          <w:i w:val="0"/>
        </w:rPr>
        <w:t xml:space="preserve">VT, UBCK. </w:t>
      </w:r>
      <w:r>
        <w:rPr>
          <w:b w:val="0"/>
          <w:i w:val="0"/>
        </w:rPr>
        <w:br/>
      </w:r>
      <w:r>
        <w:rPr>
          <w:b w:val="0"/>
          <w:i w:val="0"/>
        </w:rPr>
        <w:br/>
      </w:r>
      <w:r>
        <w:rPr>
          <w:b w:val="0"/>
          <w:i w:val="0"/>
        </w:rPr>
        <w:t>KT. BỘ TRƯỞNG</w:t>
      </w:r>
      <w:r>
        <w:rPr>
          <w:b w:val="0"/>
          <w:i w:val="0"/>
        </w:rPr>
        <w:br/>
      </w:r>
      <w:r>
        <w:rPr>
          <w:b/>
          <w:i w:val="0"/>
        </w:rPr>
        <w:t>THỨ TRƯỞNG</w:t>
      </w:r>
      <w:r>
        <w:rPr>
          <w:b w:val="0"/>
          <w:i w:val="0"/>
        </w:rPr>
        <w:t xml:space="preserve"> </w:t>
      </w:r>
      <w:r>
        <w:rPr>
          <w:b w:val="0"/>
          <w:i w:val="0"/>
        </w:rPr>
        <w:br/>
      </w:r>
      <w:r>
        <w:rPr>
          <w:b w:val="0"/>
          <w:i w:val="0"/>
        </w:rPr>
        <w:t>(đã ký)</w:t>
      </w:r>
      <w:r>
        <w:rPr>
          <w:b w:val="0"/>
          <w:i w:val="0"/>
        </w:rPr>
        <w:t xml:space="preserve"> </w:t>
      </w:r>
      <w:r>
        <w:rPr>
          <w:b w:val="0"/>
          <w:i w:val="0"/>
        </w:rPr>
        <w:br/>
      </w:r>
      <w:r>
        <w:rPr>
          <w:b/>
          <w:i w:val="0"/>
        </w:rPr>
        <w:t>Trần Xuân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w:t>
            </w:r>
            <w:r>
              <w:rPr>
                <w:b w:val="0"/>
                <w:i w:val="0"/>
              </w:rPr>
              <w:t xml:space="preserve">          </w:t>
            </w:r>
            <w:r>
              <w:rPr>
                <w:b w:val="0"/>
                <w:i w:val="0"/>
              </w:rPr>
              <w:t>Văn phòng Trung ương và các Ban của Đảng;</w:t>
            </w:r>
            <w:r>
              <w:rPr>
                <w:b w:val="0"/>
                <w:i w:val="0"/>
              </w:rPr>
              <w:br/>
            </w:r>
            <w:r>
              <w:rPr>
                <w:b w:val="0"/>
                <w:i w:val="0"/>
              </w:rPr>
              <w:t>-</w:t>
            </w:r>
            <w:r>
              <w:rPr>
                <w:b w:val="0"/>
                <w:i w:val="0"/>
              </w:rPr>
              <w:t xml:space="preserve">          </w:t>
            </w:r>
            <w:r>
              <w:rPr>
                <w:b w:val="0"/>
                <w:i w:val="0"/>
              </w:rPr>
              <w:t>Văn phòng Quốc hội;</w:t>
            </w:r>
            <w:r>
              <w:rPr>
                <w:b w:val="0"/>
                <w:i w:val="0"/>
              </w:rPr>
              <w:br/>
            </w:r>
            <w:r>
              <w:rPr>
                <w:b w:val="0"/>
                <w:i w:val="0"/>
              </w:rPr>
              <w:t>-</w:t>
            </w:r>
            <w:r>
              <w:rPr>
                <w:b w:val="0"/>
                <w:i w:val="0"/>
              </w:rPr>
              <w:t xml:space="preserve">          </w:t>
            </w:r>
            <w:r>
              <w:rPr>
                <w:b w:val="0"/>
                <w:i w:val="0"/>
              </w:rPr>
              <w:t>Văn phòng Chính phủ;</w:t>
            </w:r>
            <w:r>
              <w:rPr>
                <w:b w:val="0"/>
                <w:i w:val="0"/>
              </w:rPr>
              <w:br/>
            </w:r>
            <w:r>
              <w:rPr>
                <w:b w:val="0"/>
                <w:i w:val="0"/>
              </w:rPr>
              <w:t>-</w:t>
            </w:r>
            <w:r>
              <w:rPr>
                <w:b w:val="0"/>
                <w:i w:val="0"/>
              </w:rPr>
              <w:t xml:space="preserve">          </w:t>
            </w:r>
            <w:r>
              <w:rPr>
                <w:b w:val="0"/>
                <w:i w:val="0"/>
              </w:rPr>
              <w:t>Thủ tướng, các Phó Thủ tướng</w:t>
            </w:r>
            <w:r>
              <w:rPr>
                <w:b w:val="0"/>
                <w:i w:val="0"/>
              </w:rPr>
              <w:t xml:space="preserve">  </w:t>
            </w:r>
            <w:r>
              <w:rPr>
                <w:b w:val="0"/>
                <w:i w:val="0"/>
              </w:rPr>
              <w:t>Chính phủ;</w:t>
            </w:r>
            <w:r>
              <w:rPr>
                <w:b w:val="0"/>
                <w:i w:val="0"/>
              </w:rPr>
              <w:br/>
            </w:r>
            <w:r>
              <w:rPr>
                <w:b w:val="0"/>
                <w:i w:val="0"/>
              </w:rPr>
              <w:t>-</w:t>
            </w:r>
            <w:r>
              <w:rPr>
                <w:b w:val="0"/>
                <w:i w:val="0"/>
              </w:rPr>
              <w:t xml:space="preserve">          </w:t>
            </w:r>
            <w:r>
              <w:rPr>
                <w:b w:val="0"/>
                <w:i w:val="0"/>
              </w:rPr>
              <w:t>Văn phòng Chủ tịch nước;</w:t>
            </w:r>
            <w:r>
              <w:rPr>
                <w:b w:val="0"/>
                <w:i w:val="0"/>
              </w:rPr>
              <w:br/>
            </w:r>
            <w:r>
              <w:rPr>
                <w:b w:val="0"/>
                <w:i w:val="0"/>
              </w:rPr>
              <w:t>-</w:t>
            </w:r>
            <w:r>
              <w:rPr>
                <w:b w:val="0"/>
                <w:i w:val="0"/>
              </w:rPr>
              <w:t xml:space="preserve">          </w:t>
            </w:r>
            <w:r>
              <w:rPr>
                <w:b w:val="0"/>
                <w:i w:val="0"/>
              </w:rPr>
              <w:t>Các Bộ, cơ quan ngang Bộ,</w:t>
            </w:r>
            <w:r>
              <w:br/>
            </w:r>
            <w:r>
              <w:rPr>
                <w:b w:val="0"/>
                <w:i w:val="0"/>
              </w:rPr>
              <w:br/>
              <w:t xml:space="preserve">           cơ quan thuộc Chính phủ;</w:t>
            </w:r>
            <w:r>
              <w:rPr>
                <w:b w:val="0"/>
                <w:i w:val="0"/>
              </w:rPr>
              <w:br/>
            </w:r>
            <w:r>
              <w:rPr>
                <w:b w:val="0"/>
                <w:i w:val="0"/>
              </w:rPr>
              <w:t>-</w:t>
            </w:r>
            <w:r>
              <w:rPr>
                <w:b w:val="0"/>
                <w:i w:val="0"/>
              </w:rPr>
              <w:t xml:space="preserve">          </w:t>
            </w:r>
            <w:r>
              <w:rPr>
                <w:b w:val="0"/>
                <w:i w:val="0"/>
              </w:rPr>
              <w:t>Văn phòng BCĐTW về phòng chống tham nhũng</w:t>
            </w:r>
            <w:r>
              <w:rPr>
                <w:b w:val="0"/>
                <w:i w:val="0"/>
              </w:rPr>
              <w:br/>
            </w:r>
            <w:r>
              <w:rPr>
                <w:b w:val="0"/>
                <w:i w:val="0"/>
              </w:rPr>
              <w:t>-</w:t>
            </w:r>
            <w:r>
              <w:rPr>
                <w:b w:val="0"/>
                <w:i w:val="0"/>
              </w:rPr>
              <w:t xml:space="preserve">          </w:t>
            </w:r>
            <w:r>
              <w:rPr>
                <w:b w:val="0"/>
                <w:i w:val="0"/>
              </w:rPr>
              <w:t>Viện Kiểm sát nhân dân tối cao;</w:t>
            </w:r>
            <w:r>
              <w:rPr>
                <w:b w:val="0"/>
                <w:i w:val="0"/>
              </w:rPr>
              <w:br/>
            </w:r>
            <w:r>
              <w:rPr>
                <w:b w:val="0"/>
                <w:i w:val="0"/>
              </w:rPr>
              <w:t>-</w:t>
            </w:r>
            <w:r>
              <w:rPr>
                <w:b w:val="0"/>
                <w:i w:val="0"/>
              </w:rPr>
              <w:t xml:space="preserve">          </w:t>
            </w:r>
            <w:r>
              <w:rPr>
                <w:b w:val="0"/>
                <w:i w:val="0"/>
              </w:rPr>
              <w:t>Toà án nhân dân tối cao;</w:t>
            </w:r>
            <w:r>
              <w:rPr>
                <w:b w:val="0"/>
                <w:i w:val="0"/>
              </w:rPr>
              <w:br/>
            </w:r>
            <w:r>
              <w:rPr>
                <w:b w:val="0"/>
                <w:i w:val="0"/>
              </w:rPr>
              <w:t>-</w:t>
            </w:r>
            <w:r>
              <w:rPr>
                <w:b w:val="0"/>
                <w:i w:val="0"/>
              </w:rPr>
              <w:t xml:space="preserve">          </w:t>
            </w:r>
            <w:r>
              <w:rPr>
                <w:b w:val="0"/>
                <w:i w:val="0"/>
              </w:rPr>
              <w:t>Kiểm toán Nhà nước;</w:t>
            </w:r>
            <w:r>
              <w:rPr>
                <w:b w:val="0"/>
                <w:i w:val="0"/>
              </w:rPr>
              <w:br/>
            </w:r>
            <w:r>
              <w:rPr>
                <w:b w:val="0"/>
                <w:i w:val="0"/>
              </w:rPr>
              <w:t>-</w:t>
            </w:r>
            <w:r>
              <w:rPr>
                <w:b w:val="0"/>
                <w:i w:val="0"/>
              </w:rPr>
              <w:t xml:space="preserve">          </w:t>
            </w:r>
            <w:r>
              <w:rPr>
                <w:b w:val="0"/>
                <w:i w:val="0"/>
              </w:rPr>
              <w:t>HĐND, UBND các tỉnh, thành phố trực thuộc Trung ương;</w:t>
            </w:r>
            <w:r>
              <w:rPr>
                <w:b w:val="0"/>
                <w:i w:val="0"/>
              </w:rPr>
              <w:br/>
            </w:r>
            <w:r>
              <w:rPr>
                <w:b w:val="0"/>
                <w:i w:val="0"/>
              </w:rPr>
              <w:t>-</w:t>
            </w:r>
            <w:r>
              <w:rPr>
                <w:b w:val="0"/>
                <w:i w:val="0"/>
              </w:rPr>
              <w:t xml:space="preserve">          </w:t>
            </w:r>
            <w:r>
              <w:rPr>
                <w:b w:val="0"/>
                <w:i w:val="0"/>
              </w:rPr>
              <w:t>Công báo;</w:t>
            </w:r>
            <w:r>
              <w:rPr>
                <w:b w:val="0"/>
                <w:i w:val="0"/>
              </w:rPr>
              <w:br/>
            </w:r>
            <w:r>
              <w:rPr>
                <w:b w:val="0"/>
                <w:i w:val="0"/>
              </w:rPr>
              <w:t>-</w:t>
            </w:r>
            <w:r>
              <w:rPr>
                <w:b w:val="0"/>
                <w:i w:val="0"/>
              </w:rPr>
              <w:t xml:space="preserve">          </w:t>
            </w:r>
            <w:r>
              <w:rPr>
                <w:b w:val="0"/>
                <w:i w:val="0"/>
              </w:rPr>
              <w:t>Website Chính phủ;</w:t>
            </w:r>
            <w:r>
              <w:rPr>
                <w:b w:val="0"/>
                <w:i w:val="0"/>
              </w:rPr>
              <w:br/>
            </w:r>
            <w:r>
              <w:rPr>
                <w:b w:val="0"/>
                <w:i w:val="0"/>
              </w:rPr>
              <w:t>-</w:t>
            </w:r>
            <w:r>
              <w:rPr>
                <w:b w:val="0"/>
                <w:i w:val="0"/>
              </w:rPr>
              <w:t xml:space="preserve">          </w:t>
            </w:r>
            <w:r>
              <w:rPr>
                <w:b w:val="0"/>
                <w:i w:val="0"/>
              </w:rPr>
              <w:t>Cục Kiểm tra Văn bản (Bộ Tư pháp);</w:t>
            </w:r>
            <w:r>
              <w:rPr>
                <w:b w:val="0"/>
                <w:i w:val="0"/>
              </w:rPr>
              <w:br/>
            </w:r>
            <w:r>
              <w:rPr>
                <w:b w:val="0"/>
                <w:i w:val="0"/>
              </w:rPr>
              <w:t>-</w:t>
            </w:r>
            <w:r>
              <w:rPr>
                <w:b w:val="0"/>
                <w:i w:val="0"/>
              </w:rPr>
              <w:t xml:space="preserve">          </w:t>
            </w:r>
            <w:r>
              <w:rPr>
                <w:b w:val="0"/>
                <w:i w:val="0"/>
              </w:rPr>
              <w:t>Các đơn vị thuộc Bộ Tài chính;</w:t>
            </w:r>
            <w:r>
              <w:rPr>
                <w:b w:val="0"/>
                <w:i w:val="0"/>
              </w:rPr>
              <w:br/>
            </w:r>
            <w:r>
              <w:rPr>
                <w:b w:val="0"/>
                <w:i w:val="0"/>
              </w:rPr>
              <w:t>-</w:t>
            </w:r>
            <w:r>
              <w:rPr>
                <w:b w:val="0"/>
                <w:i w:val="0"/>
              </w:rPr>
              <w:t xml:space="preserve">          </w:t>
            </w:r>
            <w:r>
              <w:rPr>
                <w:b w:val="0"/>
                <w:i w:val="0"/>
              </w:rPr>
              <w:t>Website BTC;</w:t>
            </w:r>
            <w:r>
              <w:rPr>
                <w:b w:val="0"/>
                <w:i w:val="0"/>
              </w:rPr>
              <w:br/>
            </w:r>
            <w:r>
              <w:rPr>
                <w:b w:val="0"/>
                <w:i w:val="0"/>
              </w:rPr>
              <w:t>-</w:t>
            </w:r>
            <w:r>
              <w:rPr>
                <w:b w:val="0"/>
                <w:i w:val="0"/>
              </w:rPr>
              <w:t xml:space="preserve">          </w:t>
            </w:r>
            <w:r>
              <w:rPr>
                <w:b w:val="0"/>
                <w:i w:val="0"/>
              </w:rPr>
              <w:t>Lưu:</w:t>
            </w:r>
            <w:r>
              <w:rPr>
                <w:b w:val="0"/>
                <w:i w:val="0"/>
              </w:rPr>
              <w:t xml:space="preserve">  </w:t>
            </w:r>
            <w:r>
              <w:rPr>
                <w:b w:val="0"/>
                <w:i w:val="0"/>
              </w:rPr>
              <w:t xml:space="preserve">VT, UBCK. </w:t>
            </w:r>
          </w:p>
        </w:tc>
        <w:tc>
          <w:tcPr>
            <w:tcW w:type="dxa" w:w="4320"/>
          </w:tcPr>
          <w:p>
            <w:r>
              <w:rPr>
                <w:b w:val="0"/>
                <w:i w:val="0"/>
              </w:rPr>
              <w:br/>
            </w:r>
            <w:r>
              <w:rPr>
                <w:b w:val="0"/>
                <w:i w:val="0"/>
              </w:rPr>
              <w:t>KT. BỘ TRƯỞNG</w:t>
            </w:r>
            <w:r>
              <w:rPr>
                <w:b w:val="0"/>
                <w:i w:val="0"/>
              </w:rPr>
              <w:br/>
            </w:r>
            <w:r>
              <w:rPr>
                <w:b/>
                <w:i w:val="0"/>
              </w:rPr>
              <w:t>THỨ TRƯỞNG</w:t>
            </w:r>
            <w:r>
              <w:rPr>
                <w:b w:val="0"/>
                <w:i w:val="0"/>
              </w:rPr>
              <w:t xml:space="preserve"> </w:t>
            </w:r>
            <w:r>
              <w:rPr>
                <w:b w:val="0"/>
                <w:i w:val="0"/>
              </w:rPr>
              <w:br/>
            </w:r>
            <w:r>
              <w:rPr>
                <w:b w:val="0"/>
                <w:i w:val="0"/>
              </w:rPr>
              <w:t>(đã ký)</w:t>
            </w:r>
            <w:r>
              <w:rPr>
                <w:b w:val="0"/>
                <w:i w:val="0"/>
              </w:rPr>
              <w:t xml:space="preserve"> </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