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28/2001/QĐ-BCN Về việc chuyển Công ty Cơ khí Trung tâm Cẩm Phả về làm đơn vị thành viên của Tổng Công ty Than Việt Nam</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t xml:space="preserve">Số: 28/2001/QĐ-BCN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rPr>
        <w:t>Hà Nội, ngày 23 tháng 05 năm 2001</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chuyển Công ty Cơ khí Trung tâm Cẩm Phả </w:t>
      </w:r>
      <w:r>
        <w:rPr>
          <w:b w:val="0"/>
          <w:i w:val="0"/>
        </w:rPr>
        <w:br/>
      </w:r>
      <w:r>
        <w:rPr>
          <w:b/>
          <w:i w:val="0"/>
        </w:rPr>
        <w:t>về làm đơn vị thành viên của Tổng Công ty Than Việt Nam</w:t>
      </w:r>
      <w:r>
        <w:rPr>
          <w:b w:val="0"/>
          <w:i w:val="0"/>
        </w:rPr>
        <w:br/>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Quyết định số 67/2001/QĐ-TTg ngày 27 tháng 4 năm 2001 của Thủ tướng Chính phủ về việc sáp nhập Tổng công ty Cơ khí năng lượng và mỏ vào Tổng Công ty Than Việt Nam;</w:t>
      </w:r>
      <w:r>
        <w:rPr>
          <w:b w:val="0"/>
          <w:i w:val="0"/>
        </w:rPr>
        <w:br/>
      </w:r>
      <w:r>
        <w:rPr>
          <w:b w:val="0"/>
          <w:i/>
        </w:rPr>
        <w:t>Theo đề nghị của Hội đồng quản trị Tổng Công ty Than Việt Nam (Tờ trình số 1123/TT-HĐQT ngày 15 tháng 5 năm 2001) và Vụ trưởng Vụ Tổ chức - Cán bộ,</w:t>
      </w:r>
      <w:r>
        <w:rPr>
          <w:b w:val="0"/>
          <w:i w:val="0"/>
        </w:rPr>
        <w:br/>
      </w:r>
      <w:r>
        <w:rPr>
          <w:b/>
          <w:i w:val="0"/>
        </w:rPr>
        <w:t>QUYẾT ĐỊNH:</w:t>
      </w:r>
      <w:r>
        <w:rPr>
          <w:b w:val="0"/>
          <w:i w:val="0"/>
        </w:rPr>
        <w:t xml:space="preserve"> </w:t>
      </w:r>
      <w:r>
        <w:rPr>
          <w:b w:val="0"/>
          <w:i w:val="0"/>
        </w:rPr>
        <w:br/>
      </w:r>
      <w:r>
        <w:rPr>
          <w:b/>
          <w:i w:val="0"/>
        </w:rPr>
        <w:t>Điều 1.</w:t>
      </w:r>
      <w:r>
        <w:rPr>
          <w:b/>
          <w:i w:val="0"/>
        </w:rPr>
        <w:t xml:space="preserve"> </w:t>
      </w:r>
      <w:r>
        <w:rPr>
          <w:b w:val="0"/>
          <w:i w:val="0"/>
        </w:rPr>
        <w:t>Giữ nguyên tên gọi và chuyển Công ty Cơ khí Trung tâm Cẩm Phả, đơn vị thành viên hạch toán độc lập của Tổng Công ty Cơ khí năng lượng và mỏ về làm đơn vị thành viên hạch toán độc lập của Tổng Công ty Than Việt Nam.</w:t>
      </w:r>
      <w:r>
        <w:rPr>
          <w:b w:val="0"/>
          <w:i w:val="0"/>
        </w:rPr>
        <w:br/>
      </w:r>
      <w:r>
        <w:rPr>
          <w:b/>
          <w:i w:val="0"/>
        </w:rPr>
        <w:t>Điều 2.</w:t>
      </w:r>
      <w:r>
        <w:rPr>
          <w:b/>
          <w:i w:val="0"/>
        </w:rPr>
        <w:t xml:space="preserve"> </w:t>
      </w:r>
      <w:r>
        <w:rPr>
          <w:b w:val="0"/>
          <w:i w:val="0"/>
        </w:rPr>
        <w:t>Tổng giám đốc Tổng Công ty Than Việt Nam có trách nhiệm chỉ đạo Công ty Cơ khí Trung tâm Cẩm Phả làm đầy đủ các thủ tục cần thiết để đảm bảo hoạt động bình thường theo Điều lệ của Tổng Công ty Than Việt Nam, các quy định hiện hành của Nhà nước và Điều lệ của Công ty do Hội đồng quản trị Tổng Công ty Than Việt nam phê duyệt.</w:t>
      </w:r>
      <w:r>
        <w:rPr>
          <w:b/>
          <w:i w:val="0"/>
        </w:rPr>
        <w:t xml:space="preserve"> </w:t>
      </w:r>
      <w:r>
        <w:rPr>
          <w:b w:val="0"/>
          <w:i w:val="0"/>
        </w:rPr>
        <w:br/>
      </w:r>
      <w:r>
        <w:rPr>
          <w:b/>
          <w:i w:val="0"/>
        </w:rPr>
        <w:t>Điều 3.</w:t>
      </w:r>
      <w:r>
        <w:rPr>
          <w:b/>
          <w:i w:val="0"/>
        </w:rPr>
        <w:t xml:space="preserve">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Chủ tịch Hội đồng quản trị và Tổng giám đốc Tổng Công ty Than Việt Nam, Giám đốc Công ty Công ty Cơ khí Trung tâm Cẩm Phả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 BỘ CÔNG NGHIỆP</w:t>
      </w:r>
      <w:r>
        <w:br/>
      </w:r>
      <w:r>
        <w:rPr>
          <w:b w:val="0"/>
          <w:i w:val="0"/>
        </w:rPr>
        <w:br/>
        <w:t xml:space="preserve">           </w:t>
      </w:r>
      <w:r>
        <w:br/>
      </w:r>
      <w:r>
        <w:rPr>
          <w:b w:val="0"/>
          <w:i w:val="0"/>
        </w:rPr>
        <w:br/>
        <w:t xml:space="preserve">          (Đã ký)</w:t>
      </w:r>
      <w:r>
        <w:rPr>
          <w:b w:val="0"/>
          <w:i w:val="0"/>
        </w:rPr>
        <w:br/>
      </w:r>
      <w:r>
        <w:br/>
      </w:r>
      <w:r>
        <w:br/>
      </w:r>
      <w:r>
        <w:rPr>
          <w:b/>
          <w:i w:val="0"/>
        </w:rPr>
        <w:t>Đặng Vũ Chư</w:t>
      </w:r>
      <w:r>
        <w:rPr>
          <w:b w:val="0"/>
          <w:i w:val="0"/>
        </w:rPr>
        <w:br/>
      </w:r>
      <w:r>
        <w:rPr>
          <w:b w:val="0"/>
          <w:i w:val="0"/>
        </w:rPr>
        <w:br/>
      </w:r>
      <w:r>
        <w:rPr>
          <w:b w:val="0"/>
          <w:i w:val="0"/>
        </w:rPr>
        <w:br/>
      </w:r>
      <w:r>
        <w:rPr>
          <w:b w:val="0"/>
          <w:i w:val="0"/>
        </w:rPr>
        <w:br/>
      </w:r>
      <w:r>
        <w:br/>
      </w:r>
      <w:r>
        <w:br/>
      </w:r>
      <w:r>
        <w:br/>
      </w:r>
      <w:r>
        <w:br/>
      </w:r>
      <w:r>
        <w:br/>
      </w:r>
      <w:r>
        <w:br/>
      </w:r>
      <w:r>
        <w:br/>
      </w:r>
      <w:r>
        <w:br/>
      </w:r>
      <w: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r>
              <w:rPr>
                <w:b w:val="0"/>
                <w:i w:val="0"/>
              </w:rPr>
              <w:br/>
            </w:r>
            <w:r>
              <w:rPr>
                <w:b w:val="0"/>
                <w:i w:val="0"/>
              </w:rPr>
              <w:t xml:space="preserve">Số: 28/2001/QĐ-BCN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rPr>
              <w:t>Hà Nội, ngày 23 tháng 05 năm 2001</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CÔNG NGHIỆP</w:t>
            </w:r>
            <w:r>
              <w:br/>
            </w:r>
            <w:r>
              <w:rPr>
                <w:b w:val="0"/>
                <w:i w:val="0"/>
              </w:rPr>
              <w:br/>
              <w:t xml:space="preserve">           </w:t>
            </w:r>
            <w:r>
              <w:br/>
            </w:r>
            <w:r>
              <w:rPr>
                <w:b w:val="0"/>
                <w:i w:val="0"/>
              </w:rPr>
              <w:br/>
              <w:t xml:space="preserve">          (Đã ký)</w:t>
            </w:r>
            <w:r>
              <w:rPr>
                <w:b w:val="0"/>
                <w:i w:val="0"/>
              </w:rPr>
              <w:br/>
            </w:r>
            <w:r>
              <w:br/>
            </w:r>
            <w:r>
              <w:br/>
            </w:r>
            <w:r>
              <w:rPr>
                <w:b/>
                <w:i w:val="0"/>
              </w:rPr>
              <w:t>Đặng Vũ Chư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