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28/2011/CT-UBND Về việc triển khai thực hiện Nghị quyết số 88/NQ-CP ngày 24/8/2011 của Chính phủ về tăng cường thưc hiện các giải pháp trọng tâm bảo đảm trật tự an toàn giao thông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 TỈNH NAM ĐỊNH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CHỈ THỊ</w:t>
      </w:r>
    </w:p>
    <w:p>
      <w:pPr>
        <w:jc w:val="center"/>
      </w:pPr>
      <w:r>
        <w:rPr>
          <w:b/>
          <w:i w:val="0"/>
        </w:rPr>
        <w:t>Về việc triển khai thực hiện Nghị quyết số 88/NQ-CP ngày 24/8/2011 của Chính phủ vệ tăng cường thực hiện các giải pháp trọng tâm b</w:t>
      </w:r>
      <w:r>
        <w:rPr>
          <w:b/>
          <w:i w:val="0"/>
        </w:rPr>
        <w:t>ảo đảm trật tự an toàn giao thông</w:t>
      </w:r>
    </w:p>
    <w:p>
      <w:r>
        <w:rPr>
          <w:b w:val="0"/>
          <w:i w:val="0"/>
        </w:rPr>
        <w:t>Trong những năm qua, cấp uỷ Đảng, chính quyền và các ban ngành, đoàn thể đã tập trung lãnh đạo, chỉ đạo, tổ chức thực hiện có hiệu quả Nghị quyết số 32/2007/NQ-CP của Chính phủ, tình hình trật tự an toàn giao thông (TTATGT) đã có những chuyển biến tích cực. Tuy nhiên kết quả kiềm chế và giảm lai nạn giao thông chưa bền vững, số người chết, số người bị thương do tai nạn giao thông vẫn ở mức cao và còri tiềm ẩn nguy cơ gia tăng tai nạn giao thông.</w:t>
      </w:r>
    </w:p>
    <w:p>
      <w:r>
        <w:rPr>
          <w:b w:val="0"/>
          <w:i w:val="0"/>
        </w:rPr>
        <w:t>Trước tình hình TTATGT có diễn biến phức tạp, tai nạn giao thông (TNGT) đặc biệt nghiêm trọng trên đường bộ, đường sắt, đường thuỷ nội địa vẫn cỏn xảy ra., Chính phủ đã ban hành Nghị quyết số 88/NQ-CP ngày 24 tháng 8 năm 2011 về tăng cường thực hiện các giải pháp trọng tâm bảo đảm trật tự an toàn giao thông.</w:t>
      </w:r>
    </w:p>
    <w:p>
      <w:r>
        <w:rPr>
          <w:b w:val="0"/>
          <w:i w:val="0"/>
        </w:rPr>
        <w:t>Để thực hiện có hiệu quả Nghị quyết số 88/NQ-CP cùa Chính phủ, tiếp tục thực hiện nhiệm vụ kiềm chế, giảm TNGT và ùn tắc giao thông trong thời gian tới. UBND tỉnh yêu cầu các cấp, các ngành, các tổ chức chính trị -xã hội và toàn thể nhân dân trong tỉnh thực hiện nghiêm túc các giải pháp đồng bộ trọng tâm sau:</w:t>
      </w:r>
    </w:p>
    <w:p>
      <w:r>
        <w:rPr>
          <w:b w:val="0"/>
          <w:i w:val="0"/>
        </w:rPr>
        <w:t>1. Chủ tịch UBND các huyện, thành phố, Giảm đốc các Sở, thủ trường các cơ quan nhà nước, các doanh nghiệp, các tổ chức chính trị- xã hội phải thường xuyên phổ biến, quán triệt sâu rộng nội dung Nghị quyết số 88/NQ-CP cúa Chính phủ, các quy định pháp luật TTATGT, có trách nhiệm giáo dục và phat động cán bộ, công chức, viên chức, hội viên, sinh viên, học sinh và người lao động, gương mẫu, tự giác chấp hành pháp luật TTATGT; Ban hành quy chế khen thưởng, biểu dương kịp thời gương người tốt, việc tốt trong lĩnh vực bảo đảm TTATGT; không xem xét các danh hiệu thi đua, khen thưởng, đối với những người vi phạm pháp luật TTATGT.</w:t>
      </w:r>
    </w:p>
    <w:p>
      <w:r>
        <w:rPr>
          <w:b w:val="0"/>
          <w:i w:val="0"/>
        </w:rPr>
        <w:t>Thủ trưởng các cơ quan Nhà nước, các tổ chức đoản thể, doanh nghiệp yều cầu cán bộ, công chức, viên chức, đoàn viên, hội viên, nhân viên gương mẫu không uống rượu, bia trước khi lái xe, đồng thời ban hành quy định của cơ quan, đơn vị về không uống rượu, bia trong giờ làm việc, giờ nghỉ trưa, xử lý kỷ luật nghiêm người vi phạm, không phân biệt là cán bộ hay nhân viên.</w:t>
      </w:r>
    </w:p>
    <w:p>
      <w:r>
        <w:rPr>
          <w:b w:val="0"/>
          <w:i w:val="0"/>
        </w:rPr>
        <w:t>2. Ban An toàn giao thông tỉnh chủ trì phối hợp với Sở Thông tin và Truyền thông, Sở Y tế, Đài Phát thanh -Truyền hình tỉnh, Báo Nam Định, các ngành, các tổ chức chính trị - xã hội đẩy mạnh tuyên truyền vận động nhân dân thực hiện nếp sống "Văn hoá giao thông" tự giác chấp hành các quy định của pháp luật về TTATGT, ứng xử có văn hoá khi tham gia giao thồng nhằm xây dựng môi trường giao thông an toàn và thân thiện, tuyên truyền mạnh mẽ và thường xuyên tác hại của rượu, bia đối với sức khoẻ và trật tự an toàn xã hội. Đưa nội dung tuyên truyền vào hoạt động của tổ chức đoàn thể ở cấp cơ sở. Đồng loạt mở chiến dịch tuyên truyền mạnh mẽ trong tháng ATGT hàng năm. Tích cực hưởng ứng hoạt động " Phòng, chống người lái xe uống rượu, bia" trong chương trình "Thập kỷ hành động vì an toàn giao thông đường bộ 2011- 2020" của Liên Hợp Quốc. Tiếp tục đẩy mạnh tuyên truyền vận động người đi đò tự giác mặc áo phao, sử dụng dụng cụ cứu sinh.</w:t>
      </w:r>
    </w:p>
    <w:p>
      <w:r>
        <w:rPr>
          <w:b w:val="0"/>
          <w:i w:val="0"/>
        </w:rPr>
        <w:t>Các cơ quan truyền thông, tổ chức đoàn thể: Đẩy mạnh tuyên truyền về đội mũ bảo hiểm khi thạm gia giao thông bằng xe mô tô, xe gắn máy (đặc biệt là đối với khu vực nông thôn) tuyên truyền giáo dục, vận động người lớn tự giác đội mũ bảo hiểm cho trẻ em khi tham gia giao thông. Sử dụng mũ bảo hiêm đảm bảo chất lượng, cài quai mũ đúng quy cách.</w:t>
      </w:r>
    </w:p>
    <w:p>
      <w:r>
        <w:rPr>
          <w:b w:val="0"/>
          <w:i w:val="0"/>
        </w:rPr>
        <w:t>3. Sở Giáo dục và Đào tạo, các trường Đại học, Cao đẳng trên địa bản tỉnh:</w:t>
      </w:r>
    </w:p>
    <w:p>
      <w:r>
        <w:rPr>
          <w:b w:val="0"/>
          <w:i w:val="0"/>
        </w:rPr>
        <w:t>Tiếp tục chỉ đạo nâng cao chất lượng giáo dục kiến thức an toàn giao thông trong trường học; có phương án đưa giáo dục pháp luật về đảm bảo TTATGT vào chương trình chính khoá trong các cấp học; tuyên truyền phô biến và hướng dẫn thực hiện các tiêu chí văn hoá giao thông trong từng cấp học từ năm học 2012 theo sự chỉ đạo của Bộ Giáo dục và Đào tạo.</w:t>
      </w:r>
    </w:p>
    <w:p>
      <w:r>
        <w:rPr>
          <w:b w:val="0"/>
          <w:i w:val="0"/>
        </w:rPr>
        <w:t>Chỉ đạo các trường học phối hợp với Ban đại diện cha mẹ học sinh thường xuyên nhắc nhở, giáo dục con em mình tự giác chấp hành quy tắc giao thông, đội mũ bảo hiểm khi ngồi trên xe mô tô, xe gắn máy. Không điều khiển xe mô tô, xe gắn máy khi chưa đủ tuổi, không có GPLX, Hiệu trưởng các trường kiên quyết xử lý kỷ luật đối với học sinh, sinh viên chưa đủ tuổi, không có Giấy phép lái xẹ điều khiển xe mô tô, xe gắn máy.</w:t>
      </w:r>
    </w:p>
    <w:p>
      <w:r>
        <w:rPr>
          <w:b w:val="0"/>
          <w:i w:val="0"/>
        </w:rPr>
        <w:t>4. Công an tỉnh chỉ đạo Cảnh sát giao thông phối họp với các lực lượng cảnh sát khác và công an xã tăng cường công tác tuần tra, kiểm soát, phát hiện xử lý nghiêm những hành vi vi phạm pháp luật về TTATGT theo Nghị định số 27/2010/NĐ-CP ngày 24/3/2010 của Chính phủ; xử lý nghiêm người điều khiển phương tiện sử dụng rượu, bia; ngựời điều khiển, người ngợi trên xe mô tô, xe gắn máy không đội mũ bảo hiêm, chở.trẻ eni .không đội mũ bảo hiểm; học sinh, sinh viên chưa đủ tuổi không có GPLX điều khiển xe mô tô, xe gắn máy.</w:t>
      </w:r>
    </w:p>
    <w:p>
      <w:r>
        <w:rPr>
          <w:b w:val="0"/>
          <w:i w:val="0"/>
        </w:rPr>
        <w:t>- Chỉ đạo phòng Cảnh sát giao thông Đường bộ - Đường sát phối hợp với Thanh tra giao thông tăng cường kiểm tra và xử lý nghiêm các trường họp lái xe ô tô chở khách, xe ô tô tải vi phạm quy định về tốc độ, chở quá tải, quá số người quy định, đi không đúng làn đường, vi phạm quy định về thời gian lái Xe, đón trả khách không đúng nơi quy định, lái xe ô tô sử dụng rượu, bia.</w:t>
      </w:r>
    </w:p>
    <w:p>
      <w:r>
        <w:rPr>
          <w:b w:val="0"/>
          <w:i w:val="0"/>
        </w:rPr>
        <w:t>- Chỉ đạo phòng Cảnh sát đường thuỷ tăng cường công tác tuần tra kiểm soát đối với hoạt động chở khách ngang sông; kiên quyết đình chỉ hoạt động của các bến đò ngang trái phép, các phương tiện chở khách ngang sông không đảm bảo tiêu chuẩn an toàn, vi phạm quy định về đăng ký, đăng kiểm, không trang bị đủ dụng cụ cứu sinh, người điều khiển phương tiện thuỷ không có bàng, chứng chỉ chuyên môn hoặc có bằng, chứng chỉ chuyên môn không phù họp; xử lý các vi phạm trong hoạt động khai thác, vận chuyển, kinh doanh cát sỏi lòng sông.</w:t>
      </w:r>
    </w:p>
    <w:p>
      <w:r>
        <w:rPr>
          <w:b w:val="0"/>
          <w:i w:val="0"/>
        </w:rPr>
        <w:t>- Chỉ đạo lực lượng cảnh sát đẩy mạnh việc phát hiện và xử lý vi phạm bằng các phương tiện kỹ thuật nghiệp vụ, sớm triển khai thực hiện các dự án thuộc đề án " Tăng cường và hiện đại hoá công tác tuần tra kiểm soát, xử lý vi phạm TTATGT" theo Quyết định số 617/QĐ-TTg ngày 15/05/2009 của Thủ tướng Chính phủ.</w:t>
      </w:r>
    </w:p>
    <w:p>
      <w:r>
        <w:rPr>
          <w:b w:val="0"/>
          <w:i w:val="0"/>
        </w:rPr>
        <w:t>- Tiếp tục thực hiện cải cách hành chính trong tuần tra, kiểm soát, đăng ký quản lý phương tiện. Trong quá trình kiểm tra, kiểm soát và xử lý vi phạm phải công khai, đúng pháp luật không phân biệt người đi bộ, xe đạp. mô tô, xe gắn máy hay lái xe ô tô. Xử lý nghiệm đốị với những cán bộ, chiến sỹ có hành vi tiêu cực, nhũng nhiễu. 'Đồng thời có chế độ khen thưởng kịp thời đối với cán bộ, chiến sỹ mẫn cấn và hoàn thành xiiẩt sác nhiệm vụ.</w:t>
      </w:r>
    </w:p>
    <w:p>
      <w:r>
        <w:rPr>
          <w:b w:val="0"/>
          <w:i w:val="0"/>
        </w:rPr>
        <w:t>- Tổ chức thực hiện nghiêm túc Thông tư số 38/2010/TT-BCA ngày 12 tháng 10 năm 2010 của Bộ Công an qụy định việc thông báo người có hành vi vi phạm pháp luật TTATGT về địa phương nợi cư trú, cơ quan, đơn vị, trường học....của người vi phạm đề kịp thời phối hợp quản lý, giáo dục.</w:t>
      </w:r>
    </w:p>
    <w:p>
      <w:r>
        <w:rPr>
          <w:b w:val="0"/>
          <w:i w:val="0"/>
        </w:rPr>
        <w:t>5. Sở Giao thông vận tải:</w:t>
      </w:r>
    </w:p>
    <w:p>
      <w:r>
        <w:rPr>
          <w:b w:val="0"/>
          <w:i w:val="0"/>
        </w:rPr>
        <w:t>- Tăng cường quản lý hoạt động vận tải bằng ô tô, có biện pháp quản lý ngay tại bến xe, kỉên quyết không cho xuất bến đối với xe ô tô không bảo đảm các quy định, liên quan đến phương tiện (đặc biệt là đối với người lái xe ôtô sử dụng rượu, bia), tăng cường giám sát các doanh nghiệp, Hợp tác xã vận tải thực hiện việc lắp đặt thiết bị giám sát hành trình cho xe ô tô theo đúng quy định. Rà soát, bổ sung quy hoạch bến xe, bãi đỗ xe, trạm dừng nghỉ trên đường bộ</w:t>
      </w:r>
    </w:p>
    <w:p>
      <w:r>
        <w:rPr>
          <w:b w:val="0"/>
          <w:i w:val="0"/>
        </w:rPr>
        <w:t>- Phối hợp với ủy ban nhân dân thành phố Nam Định chỉ đạo các đơn vị có liên quan tiến hành các thủ tục di dời bến xe Nam Định, bến xe Đò quan và Trung tâm Đăng kỉểm phương tiện giao thông ta khỏi trung tâm Thành phố Nam Định. .</w:t>
      </w:r>
    </w:p>
    <w:p>
      <w:r>
        <w:rPr>
          <w:b w:val="0"/>
          <w:i w:val="0"/>
        </w:rPr>
        <w:t>- Tiếp tục hoàn thiện quy hoạch phát triển cơ sở hạ tầng giao thông và phương tiện vận tải đường bộ, ưu tiên phát triển các loại hình vận tải công cộng, xe buýt, taxi...Hoàn thành quy hoạch hệ thống đường gom, các điểm đấu nối vào Quốc lộ, nghiên cứu đề xuất các giải pháp đấu nối đường tỉnh, đường huyện và đường trục xã.</w:t>
      </w:r>
    </w:p>
    <w:p>
      <w:r>
        <w:rPr>
          <w:b w:val="0"/>
          <w:i w:val="0"/>
        </w:rPr>
        <w:t>- Đẩy mạnh việc thực hiện kế hoạch lập lại trật tự hành lang ATGT đường bộ theo Quyết định số 1856/QĐ-TTg ngày 27/12/2007 của Thú tướng Chính phủ. Chỉ đạo cơ quan quản lý đường bộ thường xuyên rà soát để phát hiện và xử lý kịp thời các "điểm đen" về tai nạn giao thông đường bộ, cương quyết không để phát sinh thêm điểm đấu nối trái phép vào đường bộ, bố trí đủ các biển báo hiệu, vạch sơn, gờ giảm tốc tại các vị trí đường bộ giao cắt với đường sắt theo quy định.</w:t>
      </w:r>
    </w:p>
    <w:p>
      <w:r>
        <w:rPr>
          <w:b w:val="0"/>
          <w:i w:val="0"/>
        </w:rPr>
        <w:t>- Bổ sung, điều chỉnh hợp lý hệ thống báo hiệu đường bộ (đặc biệt là các biển báo liên quan đến tốc độ xe chạy trên đường), triển khai lắp đặt dải phân cách để tách dòng xe mô tô 2 bánh, xe thô sơ với dòng xe ô tô trên các tuyến đường có đủ điều kiện và có mật độ phương tiện giao thông lớn, khi lập dự án nâng cấp, cải tạo, xây dựng mới các tuyến đường bộ, tuyến tránh đô thị phải thiết kế phân làn đường dành riêng cho xe mộ tồ, xe gắn máy.</w:t>
      </w:r>
    </w:p>
    <w:p>
      <w:r>
        <w:rPr>
          <w:b w:val="0"/>
          <w:i w:val="0"/>
        </w:rPr>
        <w:t>- Tăng cường công tác đào tạo cấp bằng, chứng chỉ chuyên môn cho người điều khiển phương tiện thuỷ nội địa.</w:t>
      </w:r>
    </w:p>
    <w:p>
      <w:r>
        <w:rPr>
          <w:b w:val="0"/>
          <w:i w:val="0"/>
        </w:rPr>
        <w:t>- Tiếp tục thực hiện cải cách hành chính theo hướng tạo điều kiện thuận lợi cho nhân dân khi có nhu cầu học tập, cấp, đổi Giấy phép lái xe cơ giới dường bộ, bằng, chứng chỉ chuyên môn phương tiện thuỷ nội địa. Nâng cao chất lượng đào tạo, sát hạch lái xe cơ giới đường bộ nhất là kỹ năng lái xe và đạo đức của người lái xe. Tăng cường công tác kiểm tra, giám sát các kỳ sát hạch lái xe.</w:t>
      </w:r>
    </w:p>
    <w:p>
      <w:r>
        <w:rPr>
          <w:b w:val="0"/>
          <w:i w:val="0"/>
        </w:rPr>
        <w:t>- Quản lý chặt chẽ công tác đăng kiểm phương tiện cơ giới đường bộ, đường thuỷ nội địa kiên quyết không cấp giấy chứng nhận an toàn kỹ thuật và bảo vệ môi trường cho phương tiện không đảm bảo kỹ thuật.</w:t>
      </w:r>
    </w:p>
    <w:p>
      <w:r>
        <w:rPr>
          <w:b w:val="0"/>
          <w:i w:val="0"/>
        </w:rPr>
        <w:t>- Xây dựng cơ sở dữ liệu về giấy phép lái xe thống nhất toàn quốc theo quy định của Bộ Giao thông vận tải để phục vụ công tác quản lý, tra cứu, theo dõi vi phạm của người lái xe và trao đổi thông tin với các cơ quan chức năng.</w:t>
      </w:r>
    </w:p>
    <w:p>
      <w:r>
        <w:rPr>
          <w:b w:val="0"/>
          <w:i w:val="0"/>
        </w:rPr>
        <w:t>- Chỉ đạo lực lượng Thanh tra giao thông phối hợp với các lực lượng chức năng tăng cường thanh tra, kiểm tra xử lý các vi phạm về bảo vệ công trinh giao thông, TTATGT. Đẩy nhanh tiến độ thực hiện đề án: ” Tăng cường biên chế, trang thiết bị cho lực lượng Thanh tra GTVT" theo Quyết định số 321/QĐ-TTg ngày 05 tháng 03 năm 2010 của Thủ tướng Chính phủ.</w:t>
      </w:r>
    </w:p>
    <w:p>
      <w:r>
        <w:rPr>
          <w:b w:val="0"/>
          <w:i w:val="0"/>
        </w:rPr>
        <w:t>6. Sở Y tế: Căn cứ các quy định về tiêu chuẩn sức khoẻ của người lái xe, tăng cường công tác giám sát các cơ sở y tế trong việc khám sức khoẻ cho người lái xe. Củng cố trung tâm cấp cứu 115 hiện có, đào tạo nâng cao trình độ chuyên môn về cấp cứu, nâng cao năng lực đáp ứng cấp cứu tai nạn giao thông cho cán bộ y tế.</w:t>
      </w:r>
    </w:p>
    <w:p>
      <w:r>
        <w:rPr>
          <w:b w:val="0"/>
          <w:i w:val="0"/>
        </w:rPr>
        <w:t>7. Sở Văn hoá- Thể thao và Du lịch: Chủ trì phối hợp với Sở Thông tin và Truyền thông tuyên truyền, hựớng dẫn thực hiện quy định quản lý việc quảng cáo rượu, bia trên các phương tiện quảng cáo; yêu cầu khi quảng cáo rượu, bia phải gắn kèm nội dung cảnh báo tác hại của việc lạm dụng rượu, bia đối với sức khoẻ và nguy cơ xảy ra tai nạn nếu điều khiển phương tiện tham gia giao thông; hướng dẫn về nội dung và quy cách các biển quảng cáo đảm bảo văn minh, trật tự đô thị, văn hóa giao thông theọ quy định của pháp luật.</w:t>
      </w:r>
    </w:p>
    <w:p>
      <w:r>
        <w:rPr>
          <w:b w:val="0"/>
          <w:i w:val="0"/>
        </w:rPr>
        <w:t>8. Sở Công thương có biện pháp ngăn chặn việc sản xuất, lưu thông, buôn bán loại mũ có kiểu dáng giống mũ bảo hiểm và mũ bảo hiểm không đảm bảo quy chuẩn, chất lượng, phối hợp với chính quyền địa phương tăng cường kiểm tra, xử lý nghiêm các tổ chức, cá nhân vi phạm. Yêu cầu các doanh nghiệp, cơ sở sản xuất, nhập khẩu rượu, bia phải đưa các khuyến cáo trên bao bì của sản phẩm về tác hại của việc lạm dụng rượu, bia; các cơ sở kinh doanh dịch vụ ăn uống, bến xe, trạm dừng nghỉ không bán rượu, bia cho người lái xe theo quy định của Bộ Công thương.</w:t>
      </w:r>
    </w:p>
    <w:p>
      <w:r>
        <w:rPr>
          <w:b w:val="0"/>
          <w:i w:val="0"/>
        </w:rPr>
        <w:t>9. Công ty TNHH một thành viên Quản lý đường sắt Hà Ninh chủ trì, phối họp với các ngành liên quan và chính quyền địa phương c</w:t>
      </w:r>
      <w:r>
        <w:rPr>
          <w:b w:val="0"/>
          <w:i w:val="0"/>
        </w:rPr>
        <w:t>ác cấp tiến hàn</w:t>
      </w:r>
      <w:r>
        <w:rPr>
          <w:b w:val="0"/>
          <w:i w:val="0"/>
        </w:rPr>
        <w:t>h r</w:t>
      </w:r>
      <w:r>
        <w:rPr>
          <w:b w:val="0"/>
          <w:i w:val="0"/>
        </w:rPr>
        <w:t>à soát, phân loại các vị trí đường ngang không có người gác</w:t>
      </w:r>
      <w:r>
        <w:rPr>
          <w:b w:val="0"/>
          <w:i w:val="0"/>
        </w:rPr>
        <w:t xml:space="preserve"> (đường ngang cảnh báo tự động, đường ngang biên báo) đê cắm biển báo phù hợp, hêu xét thấy mất an toàn đối với phương tiện cơ giới nào thì phải cắm biển báo cấm đối với loại phương tiện cơ giới đó; tăng cường giám sát việc thực hiện quy trình, quy phạm an toàn giao thông đường sắt của đội ngũ nhân viên gác đường ngang, thường xuyên kiểm tra hoạt động của các thiết bị an toàn trên hệ thống đường ngang, hướng dẫn quy tắc an toàn giao thông đường sắt cho người được các địa phương bố trí cảnh giớỉ tại các đường ngang.</w:t>
      </w:r>
    </w:p>
    <w:p>
      <w:r>
        <w:rPr>
          <w:b w:val="0"/>
          <w:i w:val="0"/>
        </w:rPr>
        <w:t>10. Công ty Cổ phần Quản lý đường sông số 5 tiến hành kiểm tra rà soát luồng chạy tàu trên các tuyến giạo thông đường thuỷ nội địa, bố sung hệ thông báo hiệu đường thuỷ nội địa, thanh thải chướng ngại vật lòng sông. Phối hợp với chính quyền địa phương và các cơ quan chức năng giải toả các vi phạm về hành lang an toàn đường thuỷ, các trường họp khai thác tài nguyên trái phép. Tổ chức điều tiết khống chế đảm bảo giao thông với chống va trôi tại các vị trí cầu trọng điểm vào mùa mưa bão.</w:t>
      </w:r>
    </w:p>
    <w:p>
      <w:r>
        <w:rPr>
          <w:b w:val="0"/>
          <w:i w:val="0"/>
        </w:rPr>
        <w:t>11. Sở Nội vụ: Thực hiện Quyết định số 35/2010/QĐ-TTg ngày 08 tháng 04 năm 2010 của Thủ tướng Chính phủ về kiện toàn Uỷ ban An toan giao thông Quốc gia và Ban An toàn giao thông tỉnh, thành phố trực thuộc Trung ương. Quyết định 190/QĐ-UBND ngày 25/01/2011 của UBND tỉnh về việc kiện toàn Ban ATGT tỉnh Nam Định.</w:t>
      </w:r>
    </w:p>
    <w:p>
      <w:r>
        <w:rPr>
          <w:b w:val="0"/>
          <w:i w:val="0"/>
        </w:rPr>
        <w:t>- Phối hợp với các ngành, chính quyền địa phương ti ép tục kiện toàn Ban ATGT tỉnh, Ban ATGT huyện, thành phố bố trí, đào tạo nguồn nhân lực chuyên trách cho công tác đảm bảo TTATGT ở địa phương.</w:t>
      </w:r>
    </w:p>
    <w:p>
      <w:r>
        <w:rPr>
          <w:b w:val="0"/>
          <w:i w:val="0"/>
        </w:rPr>
        <w:t>- Nghiên cứu đưa việc thực hiện nhiệm vụ đảm bảo trật tự an toàn giao thông vào tiêu chí bình xét thi đua khen thưởng hàng năm.</w:t>
      </w:r>
    </w:p>
    <w:p>
      <w:r>
        <w:rPr>
          <w:b w:val="0"/>
          <w:i w:val="0"/>
        </w:rPr>
        <w:t>12. Sở Tài chính kịp thời phân bổ kinh phí cho các lực lượng chức năng và các cơ quan, tổ chức liên quan thực hiện các hoạt động bảo đảm TTATGT theo Thông tư 89/2007/TT-BTC ngày 25 tháng 07 năm 2007, hướng dẫn việc thu, nộp tiền phạt, quản lý và sử dụng tiền thu từ xử phạt vi phạm hành chính trong các lĩnh vực giao thông đường bộ, đường sắt và đường thuỷ nội địa.</w:t>
      </w:r>
    </w:p>
    <w:p>
      <w:r>
        <w:rPr>
          <w:b w:val="0"/>
          <w:i w:val="0"/>
        </w:rPr>
        <w:t xml:space="preserve">13. Uỷ ban nhân dân cấp huyện, cấp xã (xã, phường, thị trấn) </w:t>
      </w:r>
      <w:r>
        <w:rPr>
          <w:b w:val="0"/>
          <w:i w:val="0"/>
        </w:rPr>
        <w:t>phối kết</w:t>
      </w:r>
      <w:r>
        <w:rPr>
          <w:b w:val="0"/>
          <w:i w:val="0"/>
        </w:rPr>
        <w:t xml:space="preserve"> hợp với </w:t>
      </w:r>
      <w:r>
        <w:rPr>
          <w:b w:val="0"/>
          <w:i w:val="0"/>
        </w:rPr>
        <w:t>các cơ quan chức năn</w:t>
      </w:r>
      <w:r>
        <w:rPr>
          <w:b w:val="0"/>
          <w:i w:val="0"/>
        </w:rPr>
        <w:t xml:space="preserve">g </w:t>
      </w:r>
      <w:r>
        <w:rPr>
          <w:b w:val="0"/>
          <w:i w:val="0"/>
        </w:rPr>
        <w:t>tập trung giải</w:t>
      </w:r>
      <w:r>
        <w:rPr>
          <w:b w:val="0"/>
          <w:i w:val="0"/>
        </w:rPr>
        <w:t xml:space="preserve"> toả</w:t>
      </w:r>
      <w:r>
        <w:rPr>
          <w:b w:val="0"/>
          <w:i w:val="0"/>
        </w:rPr>
        <w:t xml:space="preserve"> dứt điểm các trườ</w:t>
      </w:r>
      <w:r>
        <w:rPr>
          <w:b w:val="0"/>
          <w:i w:val="0"/>
        </w:rPr>
        <w:t>n</w:t>
      </w:r>
      <w:r>
        <w:rPr>
          <w:b w:val="0"/>
          <w:i w:val="0"/>
        </w:rPr>
        <w:t>g hợp lấn</w:t>
      </w:r>
      <w:r>
        <w:rPr>
          <w:b w:val="0"/>
          <w:i w:val="0"/>
        </w:rPr>
        <w:t xml:space="preserve"> chiếm vỉa hè, lòng đường, những chướng ngại vật che khuất tầm nhìn như: Cây cối, biển quảng cáo, điểm họp chợ, lều quán xây dựng trái phép vi phạm hành lang ATGT đường bộ trên địa bàn quản lý theo quy định của pháp luật; xử phạt hành chính, yêu cầu và tổ chức dỡ bỏ các tấm kê, bản vuốt nối từ đường lên v/a hè làm sai khác tác dụng của rãnh thoát nước, gây mất an toàn giao thông và mỹ quan đô thị, đặc biệt tại các cửa ô ra, vào thành phố Nam Định và các tuyên đường giao thông huyết mạch.</w:t>
      </w:r>
    </w:p>
    <w:p>
      <w:r>
        <w:rPr>
          <w:b w:val="0"/>
          <w:i w:val="0"/>
        </w:rPr>
        <w:t>U</w:t>
      </w:r>
      <w:r>
        <w:rPr>
          <w:b w:val="0"/>
          <w:i w:val="0"/>
        </w:rPr>
        <w:t>ỷ ban nhân dân các huyện, thành phổ Nam Định có đường sắt đi q</w:t>
      </w:r>
      <w:r>
        <w:rPr>
          <w:b w:val="0"/>
          <w:i w:val="0"/>
        </w:rPr>
        <w:t>ua c</w:t>
      </w:r>
      <w:r>
        <w:rPr>
          <w:b w:val="0"/>
          <w:i w:val="0"/>
        </w:rPr>
        <w:t>hủ động phối hợp với công</w:t>
      </w:r>
      <w:r>
        <w:rPr>
          <w:b w:val="0"/>
          <w:i w:val="0"/>
        </w:rPr>
        <w:t xml:space="preserve"> t</w:t>
      </w:r>
      <w:r>
        <w:rPr>
          <w:b w:val="0"/>
          <w:i w:val="0"/>
        </w:rPr>
        <w:t>y TNHH một thành viên Quản lý đường sẳt Hà</w:t>
      </w:r>
      <w:r>
        <w:rPr>
          <w:b w:val="0"/>
          <w:i w:val="0"/>
        </w:rPr>
        <w:t xml:space="preserve"> Ninh tiếp tục đẩy mạnh việc thực hiện kế hoạch lập lại trật tự hành lang ATGT đường sắt theo Quyết định 1856/QĐ-TTg của Chính phủ, cương quyét không để phát sinh thêm đường ngang trái phép, chủ động lập kế hoạch và lộ trình cụ thể đế xoá bỏ các đường ngang trái phép. Trong thời gian chờ xoá bỏ, UBND các huyện, thành phố Nam Định chỉ đạo UBND các xã, phường, thị trấn phải bố trí người cảnh giới tại các vị trí đường ngang có nguy cơ cao xảy ra tai nạn giao thông.</w:t>
      </w:r>
    </w:p>
    <w:p>
      <w:r>
        <w:rPr>
          <w:b w:val="0"/>
          <w:i w:val="0"/>
        </w:rPr>
        <w:t>Chủ tịch UBND cấp huyện, cấp xã tăng cường công tác quản lý hoạt động của các bến đò, phương tiện chở khách ngang sông trên địa bàn. Chủ tịch UBND cấp xã phải chịu trách nhiệm nếu để xảy ra tai nạn đò ngang trên địa bàn quản lý do bến đò hoặc phương tiện không đủ các điều kiện an toàn, chở quá số người quy định, đò ngang không đủ phao cứu sinh.</w:t>
      </w:r>
    </w:p>
    <w:p>
      <w:r>
        <w:rPr>
          <w:b w:val="0"/>
          <w:i w:val="0"/>
        </w:rPr>
        <w:t>14. Tổ chức thực hiện:</w:t>
      </w:r>
    </w:p>
    <w:p>
      <w:r>
        <w:rPr>
          <w:b w:val="0"/>
          <w:i w:val="0"/>
        </w:rPr>
        <w:t>Cảc Ngành, các cấp, các tổ chức chính trị - xã hội, các đoàn thể, UBND các huyện, thành phố căn cứ Chỉ thị này, xây dựng kế hoạch cụ thể của ngành, địa phương, đơn vị mình và chỉ đạo thực hiện nghiêm túc Nghị quyết số 88/NQ- CP ngày 24/08/2011 của Chính phủ về tăng cường thực hiện các giải pháp trọng tầm bảo đảm TTATGT.</w:t>
      </w:r>
    </w:p>
    <w:p>
      <w:r>
        <w:rPr>
          <w:b w:val="0"/>
          <w:i w:val="0"/>
        </w:rPr>
        <w:t>Ban An toàn giao thông tỉnh chủ trì phối hợp với Sở Giao thông Vận tải, Công an tỉnh, các Sở, các Ngành liên quan xây dựng nội dung, kế hoạch hành động "Năm An toàn giao thông 2012" trong quý IV năm 2011 để tổ chửc thực hiện trong năm 2012.</w:t>
      </w:r>
    </w:p>
    <w:p>
      <w:r>
        <w:rPr>
          <w:b w:val="0"/>
          <w:i w:val="0"/>
        </w:rPr>
        <w:t>15. Chỉ thị này có hiệu lực thi hành sau 10 ngày kể từ ngày ký. Chủ tịch UBND các huyện, thành phố Nam Định, thủ trưởng các sở, ngành chịu trách nhiệm thi hành Chỉ thị này.</w:t>
      </w:r>
    </w:p>
    <w:p>
      <w:r>
        <w:rPr>
          <w:b w:val="0"/>
          <w:i w:val="0"/>
        </w:rPr>
        <w:t>Chánh Văn phòng Uỷ ban nhân dân tỉnh, Giám đốc Công an tỉnh, Giám đốc Sở Giao thông Vận tải, Chánh Văn phòng Ban an toàn giao thông tỉnh chịu trách nhiệm kiểm tra đôn đốc thực hiện, hàng tháng tồng hợp kết quả báo cáo về ưỷ ban an toàn giao thông Quốc gia, Bộ Giao thông Vận tải, Bộ Công an và uỷ ban nhân dân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w:t>
            </w:r>
            <w:r>
              <w:rPr>
                <w:b w:val="0"/>
                <w:i w:val="0"/>
              </w:rPr>
              <w:br/>
            </w:r>
            <w:r>
              <w:rPr>
                <w:b w:val="0"/>
                <w:i w:val="0"/>
              </w:rPr>
              <w:t>- UBATGT Quốc gia;</w:t>
            </w:r>
            <w:r>
              <w:rPr>
                <w:b w:val="0"/>
                <w:i w:val="0"/>
              </w:rPr>
              <w:br/>
            </w:r>
            <w:r>
              <w:rPr>
                <w:b w:val="0"/>
                <w:i w:val="0"/>
              </w:rPr>
              <w:t>- Bộ GTVT, Bộ Công an;</w:t>
            </w:r>
            <w:r>
              <w:rPr>
                <w:b w:val="0"/>
                <w:i w:val="0"/>
              </w:rPr>
              <w:br/>
            </w:r>
            <w:r>
              <w:rPr>
                <w:b w:val="0"/>
                <w:i w:val="0"/>
              </w:rPr>
              <w:t>- Thường trục Tình uỷ;</w:t>
            </w:r>
            <w:r>
              <w:rPr>
                <w:b w:val="0"/>
                <w:i w:val="0"/>
              </w:rPr>
              <w:br/>
            </w:r>
            <w:r>
              <w:rPr>
                <w:b w:val="0"/>
                <w:i w:val="0"/>
              </w:rPr>
              <w:t>- TT HĐND tỉnh, TT UBND tinh;-</w:t>
            </w:r>
            <w:r>
              <w:rPr>
                <w:b w:val="0"/>
                <w:i w:val="0"/>
              </w:rPr>
              <w:br/>
            </w:r>
            <w:r>
              <w:rPr>
                <w:b w:val="0"/>
                <w:i w:val="0"/>
              </w:rPr>
              <w:t>- Đoàn Đại biểu Quốc hội tinh;</w:t>
            </w:r>
            <w:r>
              <w:rPr>
                <w:b w:val="0"/>
                <w:i w:val="0"/>
              </w:rPr>
              <w:br/>
            </w:r>
            <w:r>
              <w:rPr>
                <w:b w:val="0"/>
                <w:i w:val="0"/>
              </w:rPr>
              <w:t>- Ban thi đua khen thưởng tinh;</w:t>
            </w:r>
            <w:r>
              <w:rPr>
                <w:b w:val="0"/>
                <w:i w:val="0"/>
              </w:rPr>
              <w:br/>
            </w:r>
            <w:r>
              <w:rPr>
                <w:b w:val="0"/>
                <w:i w:val="0"/>
              </w:rPr>
              <w:t>- Các thành viên BATGT tinh;</w:t>
            </w:r>
            <w:r>
              <w:rPr>
                <w:b w:val="0"/>
                <w:i w:val="0"/>
              </w:rPr>
              <w:br/>
            </w:r>
            <w:r>
              <w:rPr>
                <w:b w:val="0"/>
                <w:i w:val="0"/>
              </w:rPr>
              <w:t>- Các Sở, ban, ngành, đoàn thể;</w:t>
            </w:r>
            <w:r>
              <w:rPr>
                <w:b w:val="0"/>
                <w:i w:val="0"/>
              </w:rPr>
              <w:br/>
            </w:r>
            <w:r>
              <w:rPr>
                <w:b w:val="0"/>
                <w:i w:val="0"/>
              </w:rPr>
              <w:t>- UBND các huyện, thành phố;</w:t>
            </w:r>
            <w:r>
              <w:rPr>
                <w:b w:val="0"/>
                <w:i w:val="0"/>
              </w:rPr>
              <w:br/>
            </w:r>
            <w:r>
              <w:rPr>
                <w:b w:val="0"/>
                <w:i w:val="0"/>
              </w:rPr>
              <w:t>- Ban ATGT các huyện, thành phố;</w:t>
            </w:r>
            <w:r>
              <w:rPr>
                <w:b w:val="0"/>
                <w:i w:val="0"/>
              </w:rPr>
              <w:br/>
            </w:r>
            <w:r>
              <w:rPr>
                <w:b w:val="0"/>
                <w:i w:val="0"/>
              </w:rPr>
              <w:t>- Đài PTTH tỉnh, Báo NĐ;</w:t>
            </w:r>
            <w:r>
              <w:rPr>
                <w:b w:val="0"/>
                <w:i w:val="0"/>
              </w:rPr>
              <w:br/>
            </w:r>
            <w:r>
              <w:rPr>
                <w:b w:val="0"/>
                <w:i w:val="0"/>
              </w:rPr>
              <w:t>- Lưu: Vpl,Vp5, Vp8.</w:t>
            </w:r>
          </w:p>
        </w:tc>
        <w:tc>
          <w:tcPr>
            <w:tcW w:type="dxa" w:w="4320"/>
          </w:tcPr>
          <w:p>
            <w:r>
              <w:rPr>
                <w:b w:val="0"/>
                <w:i w:val="0"/>
              </w:rPr>
              <w:br/>
            </w:r>
            <w:r>
              <w:rPr>
                <w:b/>
                <w:i w:val="0"/>
              </w:rPr>
              <w:t>TM. UỶ BAN NHÂN DÂN</w:t>
            </w:r>
            <w:r>
              <w:rPr>
                <w:b w:val="0"/>
                <w:i w:val="0"/>
              </w:rPr>
              <w:br/>
            </w:r>
            <w:r>
              <w:rPr>
                <w:b/>
                <w:i w:val="0"/>
              </w:rPr>
              <w:t>CHỦ TỊCH</w:t>
            </w:r>
            <w:r>
              <w:rPr>
                <w:b w:val="0"/>
                <w:i w:val="0"/>
              </w:rPr>
              <w:br/>
            </w:r>
            <w:r>
              <w:rPr>
                <w:b/>
                <w:i w:val="0"/>
              </w:rPr>
              <w:t>(Đã ký)</w:t>
            </w:r>
            <w:r>
              <w:rPr>
                <w:b w:val="0"/>
                <w:i w:val="0"/>
              </w:rPr>
              <w:br/>
            </w:r>
            <w:r>
              <w:rPr>
                <w:b/>
                <w:i w:val="0"/>
              </w:rPr>
              <w:t>Nguyễn Văn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