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28/2015/TT-BTTTT Quy định danh mục vùng có điều kiện địa lý đặc biệt áp dụng tần suất thu gom và phát đặc thù trong cung ứng dịch vụ bưu chính công ích</w:t>
      </w:r>
    </w:p>
    <w:p>
      <w:r>
        <w:rPr>
          <w:b w:val="0"/>
          <w:i w:val="0"/>
        </w:rPr>
        <w:br/>
      </w:r>
      <w:r>
        <w:rPr>
          <w:b w:val="0"/>
          <w:i w:val="0"/>
        </w:rPr>
        <w:br/>
      </w:r>
      <w:r>
        <w:rPr>
          <w:b w:val="0"/>
          <w:i w:val="0"/>
        </w:rPr>
        <w:br/>
      </w:r>
      <w:r>
        <w:rPr>
          <w:b/>
          <w:i w:val="0"/>
        </w:rPr>
        <w:br/>
      </w:r>
      <w:r>
        <w:rPr>
          <w:b/>
          <w:i w:val="0"/>
        </w:rPr>
        <w:br/>
      </w:r>
      <w:r>
        <w:rPr>
          <w:b/>
          <w:i w:val="0"/>
        </w:rPr>
        <w:t>BỘ THÔNG TIN VÀ TRUYỀN THÔNG</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28/2015/TT-BTTTT</w:t>
      </w:r>
      <w:r>
        <w:rPr>
          <w:b w:val="0"/>
          <w:i w:val="0"/>
        </w:rPr>
        <w:br/>
      </w:r>
      <w:r>
        <w:rPr>
          <w:b w:val="0"/>
          <w:i w:val="0"/>
        </w:rPr>
        <w:br/>
      </w:r>
      <w:r>
        <w:rPr>
          <w:b w:val="0"/>
          <w:i/>
        </w:rPr>
        <w:br/>
      </w:r>
      <w:r>
        <w:rPr>
          <w:b w:val="0"/>
          <w:i/>
        </w:rPr>
        <w:t>Hà Nội, ngày 02 tháng 10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THÔNG TIN VÀ TRUYỀN THÔNG</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28/2015/TT-BTTTT</w:t>
      </w:r>
      <w:r>
        <w:rPr>
          <w:b w:val="0"/>
          <w:i w:val="0"/>
        </w:rPr>
        <w:br/>
      </w:r>
      <w:r>
        <w:rPr>
          <w:b w:val="0"/>
          <w:i w:val="0"/>
        </w:rPr>
        <w:br/>
      </w:r>
      <w:r>
        <w:rPr>
          <w:b w:val="0"/>
          <w:i/>
        </w:rPr>
        <w:br/>
      </w:r>
      <w:r>
        <w:rPr>
          <w:b w:val="0"/>
          <w:i/>
        </w:rPr>
        <w:t>Hà Nội, ngày 02 tháng 10 năm 2015</w:t>
      </w:r>
      <w:r>
        <w:rPr>
          <w:b w:val="0"/>
          <w:i/>
        </w:rPr>
        <w:br/>
      </w:r>
      <w:r>
        <w:rPr>
          <w:b w:val="0"/>
          <w:i w:val="0"/>
        </w:rPr>
        <w:br/>
      </w:r>
      <w:r>
        <w:rPr>
          <w:b w:val="0"/>
          <w:i w:val="0"/>
        </w:rPr>
        <w:br/>
      </w:r>
    </w:p>
    <w:p>
      <w:r>
        <w:rPr>
          <w:b w:val="0"/>
          <w:i w:val="0"/>
        </w:rPr>
        <w:br/>
      </w:r>
      <w:r>
        <w:rPr>
          <w:b/>
          <w:i w:val="0"/>
        </w:rPr>
        <w:br/>
      </w:r>
      <w:r>
        <w:rPr>
          <w:b/>
          <w:i w:val="0"/>
        </w:rPr>
        <w:br/>
      </w:r>
      <w:r>
        <w:rPr>
          <w:b/>
          <w:i w:val="0"/>
        </w:rPr>
        <w:t>BỘ THÔNG TIN VÀ TRUYỀN THÔNG</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BỘ THÔNG TIN VÀ TRUYỀN THÔNG</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BỘ THÔNG TIN VÀ TRUYỀN THÔNG</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28/2015/TT-BTTTT</w:t>
      </w:r>
      <w:r>
        <w:rPr>
          <w:b w:val="0"/>
          <w:i w:val="0"/>
        </w:rPr>
        <w:br/>
      </w:r>
      <w:r>
        <w:rPr>
          <w:b w:val="0"/>
          <w:i w:val="0"/>
        </w:rPr>
        <w:br/>
      </w:r>
      <w:r>
        <w:rPr>
          <w:b w:val="0"/>
          <w:i/>
        </w:rPr>
        <w:br/>
      </w:r>
      <w:r>
        <w:rPr>
          <w:b w:val="0"/>
          <w:i/>
        </w:rPr>
        <w:t>Hà Nội, ngày 02 tháng 10 năm 2015</w:t>
      </w:r>
      <w:r>
        <w:rPr>
          <w:b w:val="0"/>
          <w:i/>
        </w:rPr>
        <w:br/>
      </w:r>
      <w:r>
        <w:rPr>
          <w:b w:val="0"/>
          <w:i w:val="0"/>
        </w:rPr>
        <w:br/>
      </w:r>
    </w:p>
    <w:p>
      <w:pPr>
        <w:jc w:val="center"/>
      </w:pPr>
      <w:r>
        <w:rPr>
          <w:b w:val="0"/>
          <w:i w:val="0"/>
        </w:rPr>
        <w:br/>
      </w:r>
      <w:r>
        <w:rPr>
          <w:b w:val="0"/>
          <w:i w:val="0"/>
        </w:rPr>
        <w:t>Số: 28/2015/TT-BTTTT</w:t>
      </w:r>
      <w:r>
        <w:rPr>
          <w:b w:val="0"/>
          <w:i w:val="0"/>
        </w:rPr>
        <w:br/>
      </w:r>
    </w:p>
    <w:p>
      <w:pPr>
        <w:jc w:val="center"/>
      </w:pPr>
      <w:r>
        <w:rPr>
          <w:b w:val="0"/>
          <w:i w:val="0"/>
        </w:rPr>
        <w:br/>
      </w:r>
      <w:r>
        <w:rPr>
          <w:b w:val="0"/>
          <w:i w:val="0"/>
        </w:rPr>
        <w:t>Hà Nội, ngày 02 tháng 10 năm 2015</w:t>
      </w:r>
      <w:r>
        <w:rPr>
          <w:b w:val="0"/>
          <w:i w:val="0"/>
        </w:rPr>
        <w:br/>
      </w:r>
    </w:p>
    <w:p>
      <w:r>
        <w:rPr>
          <w:b/>
          <w:i w:val="0"/>
        </w:rPr>
        <w:t>THÔNG TƯ</w:t>
      </w:r>
    </w:p>
    <w:p>
      <w:r>
        <w:rPr>
          <w:b/>
          <w:i w:val="0"/>
        </w:rPr>
        <w:t>Quy định danh mục vùng có điều kiện địa lý đặc biệt áp dụng tần suất</w:t>
      </w:r>
    </w:p>
    <w:p>
      <w:r>
        <w:rPr>
          <w:b/>
          <w:i w:val="0"/>
        </w:rPr>
        <w:t xml:space="preserve">thu gom </w:t>
      </w:r>
      <w:r>
        <w:rPr>
          <w:b/>
          <w:i w:val="0"/>
        </w:rPr>
        <w:t>và phát đặc thù trong cung ứng dịch vụ bưu chính công íc</w:t>
      </w:r>
      <w:r>
        <w:rPr>
          <w:b/>
          <w:i w:val="0"/>
        </w:rPr>
        <w:t>h</w:t>
      </w:r>
    </w:p>
    <w:p>
      <w:r>
        <w:rPr>
          <w:b w:val="0"/>
          <w:i w:val="0"/>
        </w:rPr>
        <w:t>---------------------</w:t>
      </w:r>
    </w:p>
    <w:p>
      <w:r>
        <w:rPr>
          <w:b w:val="0"/>
          <w:i/>
        </w:rPr>
        <w:t>Căn cứ Luật bưu chính ngày 17 tháng 6 năm 2010;</w:t>
      </w:r>
    </w:p>
    <w:p>
      <w:r>
        <w:rPr>
          <w:b w:val="0"/>
          <w:i/>
        </w:rPr>
        <w:t>Căn cứ Nghị định s</w:t>
      </w:r>
      <w:r>
        <w:rPr>
          <w:b w:val="0"/>
          <w:i/>
        </w:rPr>
        <w:t xml:space="preserve">ố </w:t>
      </w:r>
      <w:r>
        <w:rPr>
          <w:b w:val="0"/>
          <w:i/>
        </w:rPr>
        <w:t>47/2011/NĐ-CP ngày 17 tháng 6 năm 2011 của Chính phủ quy định chi tiết thi hành một số nội dung của Luật bưu chính;</w:t>
      </w:r>
    </w:p>
    <w:p>
      <w:r>
        <w:rPr>
          <w:b w:val="0"/>
          <w:i/>
        </w:rPr>
        <w:t>Căn cứ Nghị định số 132/2013/NĐ-CP ngày 16 tháng 10 năm 2013 của Chính phủ quy định chức năng, nhiệm vụ, quyền hạn và cơ cấu tổ chức của Bộ Thông tin và Truyền thông;</w:t>
      </w:r>
    </w:p>
    <w:p>
      <w:r>
        <w:rPr>
          <w:b w:val="0"/>
          <w:i/>
        </w:rPr>
        <w:t>Theo đề nghị của Vụ tr</w:t>
      </w:r>
      <w:r>
        <w:rPr>
          <w:b w:val="0"/>
          <w:i/>
        </w:rPr>
        <w:t>ư</w:t>
      </w:r>
      <w:r>
        <w:rPr>
          <w:b w:val="0"/>
          <w:i/>
        </w:rPr>
        <w:t>ởng Vụ Bưu chính,</w:t>
      </w:r>
    </w:p>
    <w:p>
      <w:r>
        <w:rPr>
          <w:b w:val="0"/>
          <w:i/>
        </w:rPr>
        <w:t>Bộ trưởng Bộ Thông tin và Truyền thông ban hành Thông tư quy định danh mục vùng có điều kiện địa l</w:t>
      </w:r>
      <w:r>
        <w:rPr>
          <w:b w:val="0"/>
          <w:i/>
        </w:rPr>
        <w:t xml:space="preserve">ý </w:t>
      </w:r>
      <w:r>
        <w:rPr>
          <w:b w:val="0"/>
          <w:i/>
        </w:rPr>
        <w:t>đặc biệt áp dụng tần suất thu gom và phát đặc thù trong cung ứng dịch vụ bưu chính công ích.</w:t>
      </w:r>
    </w:p>
    <w:p>
      <w:r>
        <w:rPr>
          <w:b/>
          <w:i w:val="0"/>
        </w:rPr>
        <w:t xml:space="preserve">Điều 1. </w:t>
      </w:r>
      <w:r>
        <w:rPr>
          <w:b w:val="0"/>
          <w:i w:val="0"/>
        </w:rPr>
        <w:t>Thông tư này quy định các danh mục vùng có điều kiện địa lý đặc biệt áp dụng tần suất thu gom và phát đặc thù trong cung ứng dịch vụ bưu chính công ích, bao gồm:</w:t>
      </w:r>
    </w:p>
    <w:p>
      <w:r>
        <w:rPr>
          <w:b w:val="0"/>
          <w:i w:val="0"/>
        </w:rPr>
        <w:t>1. Danh mục A: Vùng có điều kiện địa lý đặc biệt áp dụng tần suất thu gom và phát tối thiểu 1-3 lần/tuần;</w:t>
      </w:r>
    </w:p>
    <w:p>
      <w:r>
        <w:rPr>
          <w:b w:val="0"/>
          <w:i w:val="0"/>
        </w:rPr>
        <w:t>2. Danh mục B: Vùng có điều kiện địa lý đặc biệt áp dụng tần suất thu gom và phát theo tình hình thực tế.</w:t>
      </w:r>
    </w:p>
    <w:p>
      <w:r>
        <w:rPr>
          <w:b/>
          <w:i w:val="0"/>
        </w:rPr>
        <w:t xml:space="preserve">Điều 2. </w:t>
      </w:r>
      <w:r>
        <w:rPr>
          <w:b w:val="0"/>
          <w:i w:val="0"/>
        </w:rPr>
        <w:t>Bộ Thông tin và Truyền thông sẽ điều chỉnh các danh mục vùng có điều kiện địa lý đặc biệt áp dụng tần suất thu gom và phát đặc thù trong cung ứng dịch vụ bưu chính công ích phù hợp với tình hình thực tế từng thời kỳ.</w:t>
      </w:r>
    </w:p>
    <w:p>
      <w:r>
        <w:rPr>
          <w:b/>
          <w:i w:val="0"/>
        </w:rPr>
        <w:t xml:space="preserve">Điều 3. </w:t>
      </w:r>
      <w:r>
        <w:rPr>
          <w:b w:val="0"/>
          <w:i w:val="0"/>
        </w:rPr>
        <w:t>Thông tư này có hiệu lực thi hành kể từ ngày 01 tháng 01 năm 2016 và thay thế Quyết định số 07/2008/QĐ-BTTTT ngày 19 tháng 03 năm 2008 của Bộ trưởng Bộ Thông tin và Truyền thông về việc ban hành danh mục vùng có điều kiện địa lý đặc biệt áp dụng tần suất thu gom và phát tối thiểu 1 lần/tuần.</w:t>
      </w:r>
    </w:p>
    <w:p>
      <w:r>
        <w:rPr>
          <w:b/>
          <w:i w:val="0"/>
        </w:rPr>
        <w:t xml:space="preserve">Điều 4. </w:t>
      </w:r>
      <w:r>
        <w:rPr>
          <w:b w:val="0"/>
          <w:i w:val="0"/>
        </w:rPr>
        <w:t>Chánh văn phòng, Vụ trưởng Vụ Bưu chính, Thủ trưởng các cơ quan, đơn vị trực thuộc Bộ Thông tin và Truyền thông và Tổng Giám đốc Tổng công ty Bưu điện Việt Nam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Nguyễn Bắc Son</w:t>
            </w:r>
            <w:r>
              <w:rPr>
                <w:b/>
                <w:i w:val="0"/>
              </w:rPr>
              <w:br/>
            </w:r>
          </w:p>
        </w:tc>
      </w:tr>
    </w:tbl>
    <w:p>
      <w:pPr>
        <w:jc w:val="center"/>
      </w:pPr>
      <w:r>
        <w:rPr>
          <w:b/>
          <w:i w:val="0"/>
        </w:rPr>
        <w:t>DANH MỤC A: VÙNG CÓ ĐIỀU KIỆN ĐỊA LÝ ĐẶC BIỆT ÁP DỤNG TẦN SUẤT THU GOM VÀ PHÁT LỚN THIẾU 1 - 3 LẦN/TUẦN</w:t>
      </w:r>
    </w:p>
    <w:p>
      <w:pPr>
        <w:jc w:val="center"/>
      </w:pPr>
      <w:r>
        <w:rPr>
          <w:b w:val="0"/>
          <w:i w:val="0"/>
        </w:rPr>
        <w:t>(Ban hành kèm theo Thông tư số 28/2015/TT-BTTTT ngày 01/10/2015)</w:t>
      </w:r>
    </w:p>
    <w:p>
      <w:r>
        <w:rPr>
          <w:b/>
          <w:i w:val="0"/>
        </w:rPr>
        <w:t>DANH MỤC B: VÙNG CÓ ĐIỀU KIỆN ĐỊA LÝ ĐẶC BIỆT ÁP DỤNG TẦN SUẤT THU GOM VÀ PHÁT THEO TÌNH HÌNH THỰC TẾ</w:t>
      </w:r>
    </w:p>
    <w:p>
      <w:r>
        <w:rPr>
          <w:b w:val="0"/>
          <w:i/>
        </w:rPr>
        <w:t>(Ban hành kèm theo Thông tư số 28/2015/TT-BTTTT ngày 02/10/2015 của Bộ Thông tin và Truyền thông)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Tỉnh</w:t>
            </w:r>
          </w:p>
        </w:tc>
        <w:tc>
          <w:tcPr>
            <w:tcW w:type="dxa" w:w="1728"/>
          </w:tcPr>
          <w:p>
            <w:r>
              <w:rPr>
                <w:b w:val="0"/>
                <w:i w:val="0"/>
              </w:rPr>
              <w:br/>
            </w:r>
            <w:r>
              <w:rPr>
                <w:b w:val="0"/>
                <w:i w:val="0"/>
              </w:rPr>
              <w:t>Huyện</w:t>
            </w:r>
          </w:p>
        </w:tc>
        <w:tc>
          <w:tcPr>
            <w:tcW w:type="dxa" w:w="1728"/>
          </w:tcPr>
          <w:p>
            <w:r>
              <w:rPr>
                <w:b w:val="0"/>
                <w:i w:val="0"/>
              </w:rPr>
              <w:br/>
            </w:r>
            <w:r>
              <w:rPr>
                <w:b w:val="0"/>
                <w:i w:val="0"/>
              </w:rPr>
              <w:t>Xã</w:t>
            </w:r>
          </w:p>
        </w:tc>
        <w:tc>
          <w:tcPr>
            <w:tcW w:type="dxa" w:w="1728"/>
          </w:tcPr>
          <w:p>
            <w:r>
              <w:rPr>
                <w:b w:val="0"/>
                <w:i w:val="0"/>
              </w:rPr>
              <w:br/>
            </w:r>
            <w:r>
              <w:rPr>
                <w:b w:val="0"/>
                <w:i w:val="0"/>
              </w:rPr>
              <w:t>Tần suất thu gom và phát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