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28/2024/NQ-HĐND danh mục công trình, dự án phải thu hồi đất năm 2025 tỉnh Đồng Nai</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28/2024/NQ-HĐND</w:t>
      </w:r>
      <w:r>
        <w:rPr>
          <w:b w:val="0"/>
          <w:i w:val="0"/>
        </w:rPr>
        <w:br/>
      </w:r>
      <w:r>
        <w:rPr>
          <w:b w:val="0"/>
          <w:i w:val="0"/>
        </w:rPr>
        <w:br/>
      </w:r>
      <w:r>
        <w:rPr>
          <w:b w:val="0"/>
          <w:i/>
        </w:rPr>
        <w:t>Đồng Nai, ngày 11 tháng 12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28/2024/NQ-HĐND</w:t>
      </w:r>
      <w:r>
        <w:rPr>
          <w:b w:val="0"/>
          <w:i w:val="0"/>
        </w:rPr>
        <w:br/>
      </w:r>
      <w:r>
        <w:rPr>
          <w:b w:val="0"/>
          <w:i w:val="0"/>
        </w:rPr>
        <w:br/>
      </w:r>
      <w:r>
        <w:rPr>
          <w:b w:val="0"/>
          <w:i/>
        </w:rPr>
        <w:t>Đồng Nai, ngày 11 tháng 12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r>
        <w:br/>
      </w:r>
      <w:r>
        <w:rPr>
          <w:b/>
          <w:i w:val="0"/>
        </w:rPr>
        <w:br/>
        <w:t xml:space="preserve">     Nghị quyết danh mục công trình, dự án phải thu hồi đất năm 2025 tỉnh Đồng Nai</w:t>
      </w:r>
    </w:p>
    <w:p>
      <w:pPr>
        <w:jc w:val="center"/>
      </w:pPr>
      <w:r>
        <w:rPr>
          <w:b/>
          <w:i w:val="0"/>
        </w:rPr>
        <w:t>HỘI ĐỒNG NHÂN DÂN TỈNH ĐỒNG NAI</w:t>
      </w:r>
      <w:r>
        <w:br/>
      </w:r>
      <w:r>
        <w:rPr>
          <w:b/>
          <w:i w:val="0"/>
        </w:rPr>
        <w:br/>
        <w:t xml:space="preserve">     KHÓA X KỲ HỌP THỨ 22</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Đất đai ngày 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Xét Tờ trình số 163/TTr-UBND ngày 20 tháng 11 năm 2024 của Ủy ban nhân dân tỉnh Đồng Nai về dự thảo Nghị quyết danh mục công trình, dự án phải thu hồi đất năm 2025 tỉnh Đồng Nai; Báo cáo thẩm tra số 811/BC-BKTNS ngày 05 tháng 12 năm 2024 của Ban Kinh tế - Ngân sách Hội đồng nhân dân tỉnh; ý kiến thảo luận của các đại biểu Hội đồng nhân dân tỉnh tại kỳ họp.</w:t>
      </w:r>
    </w:p>
    <w:p>
      <w:pPr>
        <w:jc w:val="center"/>
      </w:pPr>
      <w:r>
        <w:rPr>
          <w:b/>
          <w:i w:val="0"/>
        </w:rPr>
        <w:t>QUYẾT NGHỊ:</w:t>
      </w:r>
    </w:p>
    <w:p>
      <w:r>
        <w:rPr>
          <w:b/>
          <w:i w:val="0"/>
        </w:rPr>
        <w:t xml:space="preserve">Điều 1. </w:t>
      </w:r>
      <w:r>
        <w:rPr>
          <w:b w:val="0"/>
          <w:i w:val="0"/>
        </w:rPr>
        <w:t>Thống nhất thông qua danh mục 27 công trình, dự án phải thu hồi đất năm 2025 tỉnh Đồng Nai với tổng diện tích thu hồi đất là 172,15 ha.</w:t>
      </w:r>
    </w:p>
    <w:p>
      <w:r>
        <w:rPr>
          <w:b w:val="0"/>
          <w:i w:val="0"/>
        </w:rPr>
        <w:t>(Phụ lục đính kèm).</w:t>
      </w:r>
    </w:p>
    <w:p>
      <w:r>
        <w:rPr>
          <w:b/>
          <w:i w:val="0"/>
        </w:rPr>
        <w:t>Điều 2. Tổ chức thực hiện</w:t>
      </w:r>
    </w:p>
    <w:p>
      <w:pPr>
        <w:jc w:val="both"/>
      </w:pPr>
      <w:r>
        <w:rPr>
          <w:b w:val="0"/>
          <w:i w:val="0"/>
        </w:rPr>
        <w:t>1. Ủy ban nhân dân tỉnh có trách nhiệm tổ chức triển khai, thực hiện Nghị quyết này, định kỳ hàng năm đánh giá kết quả thực hiện và báo cáo Hội đồng nhân dân tỉnh theo quy định.</w:t>
      </w:r>
    </w:p>
    <w:p>
      <w:pPr>
        <w:jc w:val="both"/>
      </w:pPr>
      <w:r>
        <w:rPr>
          <w:b w:val="0"/>
          <w:i w:val="0"/>
        </w:rPr>
        <w:t>Đối với 02 công trình năng lượng điện: Đề nghị UBND tỉnh chỉ đạo UBND huyện Long Thành, Định Quán, các sở ngành liên quan và chủ đầu tư theo chức năng nhiệm vụ khẩn trương lập, trình UBND tỉnh phê duyệt điều chỉnh quy hoạch sử dụng đất cấp huyện đến năm 2030; phê duyệt chủ trương đầu tư và chỉ thực hiện công tác thu hồi đất khi đáp ứng các điều kiện theo quy định tại Điều 80 Luật Đất đai 2024.</w:t>
      </w:r>
    </w:p>
    <w:p>
      <w:pPr>
        <w:jc w:val="both"/>
      </w:pPr>
      <w:r>
        <w:rPr>
          <w:b w:val="0"/>
          <w:i w:val="0"/>
        </w:rPr>
        <w:t>Tăng cường kiểm tra, giám sát việc thực hiện các công trình, dự án đảm bảo việc sử dụng đất theo đúng quy hoạch, kế hoạch sử dụng đất. Quá trình triển khai thực hiện thu hồi đất thực hiện dự án có liên quan đến quyền và lợi ích của người dân, đề nghị thực hiện đảm bảo đúng quy trình, dân chủ, công khai và có sự giám sát chặt chẽ, tránh tình trạng người dân khiếu nại, tố cáo; thực hiện công tác tuyên truyền, tạo sự đồng thuận và tham gia hưởng ứng tích cực của nhân dân.</w:t>
      </w:r>
    </w:p>
    <w:p>
      <w:pPr>
        <w:jc w:val="both"/>
      </w:pPr>
      <w:r>
        <w:rPr>
          <w:b w:val="0"/>
          <w:i w:val="0"/>
        </w:rPr>
        <w:t>2. Giao Thường trực Hội đồng nhân dân tỉnh, các Ban Hội đồng nhân dân tỉnh, các Tổ đại biểu Hội đồng nhân dân tỉnh và đại biểu Hội đồng nhân dân tỉnh có trách nhiệm giám sát việc thực hiện Nghị quyết này theo quy định.</w:t>
      </w:r>
    </w:p>
    <w:p>
      <w:pPr>
        <w:jc w:val="both"/>
      </w:pPr>
      <w:r>
        <w:rPr>
          <w:b w:val="0"/>
          <w:i w:val="0"/>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w:t>
      </w:r>
    </w:p>
    <w:p>
      <w:pPr>
        <w:jc w:val="both"/>
      </w:pPr>
      <w:r>
        <w:rPr>
          <w:b w:val="0"/>
          <w:i w:val="0"/>
        </w:rPr>
        <w:t>Nghị quyết này đã được Hội đồng nhân dân tỉnh Đồng Nai Khóa X Kỳ họp thứ 22 thông qua ngày 11 tháng 12 năm 2024 và có hiệu lực thi hành kể từ ngày 21 tháng 12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rPr>
              <w:t>-</w:t>
            </w:r>
            <w:r>
              <w:rPr>
                <w:b w:val="0"/>
                <w:i w:val="0"/>
              </w:rPr>
              <w:t xml:space="preserve"> Ủy ban thường vụ Quốc hội;</w:t>
            </w:r>
            <w:r>
              <w:br/>
            </w:r>
            <w:r>
              <w:rPr>
                <w:b w:val="0"/>
                <w:i w:val="0"/>
              </w:rPr>
              <w:t>- Chính Phủ;</w:t>
            </w:r>
            <w:r>
              <w:br/>
            </w:r>
            <w:r>
              <w:rPr>
                <w:b w:val="0"/>
                <w:i w:val="0"/>
              </w:rPr>
              <w:t>- Văn phòng Chính phủ (A + B);</w:t>
            </w:r>
            <w:r>
              <w:br/>
            </w:r>
            <w:r>
              <w:rPr>
                <w:b w:val="0"/>
                <w:i w:val="0"/>
              </w:rPr>
              <w:t>- Vụ Pháp chế Bộ Tài nguyên và Môi trường;</w:t>
            </w:r>
            <w:r>
              <w:br/>
            </w:r>
            <w:r>
              <w:rPr>
                <w:b w:val="0"/>
                <w:i w:val="0"/>
              </w:rPr>
              <w:br/>
              <w:t xml:space="preserve">         - Cục Kiểm tra VB.QPPL - Bộ Tư pháp;</w:t>
            </w:r>
            <w:r>
              <w:br/>
            </w:r>
            <w:r>
              <w:rPr>
                <w:b w:val="0"/>
                <w:i w:val="0"/>
              </w:rPr>
              <w:br/>
              <w:t xml:space="preserve">         - Bí thư Tỉnh ủy;</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tỉnh;</w:t>
            </w:r>
            <w:r>
              <w:br/>
            </w:r>
            <w:r>
              <w:rPr>
                <w:b w:val="0"/>
                <w:i w:val="0"/>
              </w:rPr>
              <w:br/>
              <w:t xml:space="preserve">         - Đại biểu HĐND tỉnh;</w:t>
            </w:r>
            <w:r>
              <w:br/>
            </w:r>
            <w:r>
              <w:rPr>
                <w:b w:val="0"/>
                <w:i w:val="0"/>
              </w:rPr>
              <w:br/>
              <w:t xml:space="preserve">         - UBND tỉnh;</w:t>
            </w:r>
            <w:r>
              <w:br/>
            </w:r>
            <w:r>
              <w:rPr>
                <w:b w:val="0"/>
                <w:i w:val="0"/>
              </w:rPr>
              <w:br/>
              <w:t xml:space="preserve">         - Ủy ban MTTQVN và các đoàn thể;</w:t>
            </w:r>
            <w:r>
              <w:br/>
            </w:r>
            <w:r>
              <w:rPr>
                <w:b w:val="0"/>
                <w:i w:val="0"/>
              </w:rPr>
              <w:br/>
              <w:t xml:space="preserve">         - Các Sở, ban, ngành của tỉnh;</w:t>
            </w:r>
            <w:r>
              <w:br/>
            </w:r>
            <w:r>
              <w:rPr>
                <w:b w:val="0"/>
                <w:i w:val="0"/>
              </w:rPr>
              <w:br/>
              <w:t xml:space="preserve">         - VKSND, TAND, CTHADS tỉnh;</w:t>
            </w:r>
            <w:r>
              <w:br/>
            </w:r>
            <w:r>
              <w:rPr>
                <w:b w:val="0"/>
                <w:i w:val="0"/>
              </w:rPr>
              <w:br/>
              <w:t xml:space="preserve">         - Văn phòng: Tỉnh ủy;</w:t>
            </w:r>
            <w:r>
              <w:br/>
            </w:r>
            <w:r>
              <w:rPr>
                <w:b w:val="0"/>
                <w:i w:val="0"/>
              </w:rPr>
              <w:br/>
              <w:t xml:space="preserve">         - Văn phòng Đoàn ĐBQH&amp;HĐND, UBND tỉnh;</w:t>
            </w:r>
            <w:r>
              <w:br/>
            </w:r>
            <w:r>
              <w:rPr>
                <w:b w:val="0"/>
                <w:i w:val="0"/>
              </w:rPr>
              <w:br/>
              <w:t xml:space="preserve">         - Thành ủy, huyện ủy, HĐND, UBND cấp huyện;</w:t>
            </w:r>
            <w:r>
              <w:br/>
            </w:r>
            <w:r>
              <w:rPr>
                <w:b w:val="0"/>
                <w:i w:val="0"/>
              </w:rPr>
              <w:br/>
              <w:t xml:space="preserve">         - Cổng Thông tin điện tử tỉnh;</w:t>
            </w:r>
            <w:r>
              <w:br/>
            </w:r>
            <w:r>
              <w:rPr>
                <w:b w:val="0"/>
                <w:i w:val="0"/>
              </w:rPr>
              <w:br/>
              <w:t xml:space="preserve">         - Báo Đồng Nai, Đài PT-TH Đồng Nai;</w:t>
            </w:r>
            <w:r>
              <w:br/>
            </w:r>
            <w:r>
              <w:rPr>
                <w:b w:val="0"/>
                <w:i w:val="0"/>
              </w:rPr>
              <w:br/>
              <w:t xml:space="preserve">         - Lưu: VT, PCTHĐND.</w:t>
            </w:r>
          </w:p>
        </w:tc>
        <w:tc>
          <w:tcPr>
            <w:tcW w:type="dxa" w:w="4320"/>
          </w:tcPr>
          <w:p>
            <w:r>
              <w:rPr>
                <w:b w:val="0"/>
                <w:i w:val="0"/>
              </w:rPr>
              <w:br/>
            </w:r>
            <w:r>
              <w:rPr>
                <w:b/>
                <w:i w:val="0"/>
              </w:rPr>
              <w:t>CHỦ TỊCH</w:t>
            </w:r>
            <w:r>
              <w:br/>
            </w:r>
            <w:r>
              <w:rPr>
                <w:b/>
                <w:i w:val="0"/>
              </w:rPr>
              <w:br/>
              <w:t xml:space="preserve">         (đã ký)</w:t>
            </w:r>
            <w:r>
              <w:br/>
            </w:r>
            <w:r>
              <w:br/>
            </w:r>
            <w:r>
              <w:br/>
            </w:r>
            <w:r>
              <w:br/>
            </w:r>
            <w:r>
              <w:rPr>
                <w:b/>
                <w:i w:val="0"/>
              </w:rPr>
              <w:br/>
              <w:t xml:space="preserve">         Thái Bảo</w:t>
            </w:r>
          </w:p>
        </w:tc>
      </w:tr>
    </w:tbl>
    <w:p>
      <w:r>
        <w:rPr>
          <w:b/>
          <w:i w:val="0"/>
        </w:rPr>
        <w:t>PHỤ LỤC</w:t>
      </w:r>
    </w:p>
    <w:p>
      <w:r>
        <w:rPr>
          <w:b/>
          <w:i w:val="0"/>
        </w:rPr>
        <w:t>DANH MỤC CÔNG TRÌNH, DỰ ÁN PHẢI THU HỒI ĐẤT NĂM 2025 TỈNH ĐỒNG NAI</w:t>
      </w:r>
      <w:r>
        <w:br/>
      </w:r>
      <w:r>
        <w:rPr>
          <w:b w:val="0"/>
          <w:i/>
        </w:rPr>
        <w:t>(Kèm theo Nghị quyết số 28/2024/NQ-HĐND ngày 11 tháng 12 năm 2024 của Hội đồng nhân dân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công trình</w:t>
            </w:r>
          </w:p>
        </w:tc>
        <w:tc>
          <w:tcPr>
            <w:tcW w:type="dxa" w:w="1440"/>
          </w:tcPr>
          <w:p>
            <w:r>
              <w:rPr>
                <w:b w:val="0"/>
                <w:i w:val="0"/>
              </w:rPr>
              <w:br/>
            </w:r>
            <w:r>
              <w:rPr>
                <w:b/>
                <w:i w:val="0"/>
              </w:rPr>
              <w:t>Xã, phường, thị trấn</w:t>
            </w:r>
          </w:p>
        </w:tc>
        <w:tc>
          <w:tcPr>
            <w:tcW w:type="dxa" w:w="1440"/>
          </w:tcPr>
          <w:p>
            <w:r>
              <w:rPr>
                <w:b w:val="0"/>
                <w:i w:val="0"/>
              </w:rPr>
              <w:br/>
            </w:r>
            <w:r>
              <w:rPr>
                <w:b/>
                <w:i w:val="0"/>
              </w:rPr>
              <w:t>Huyện, thành phố</w:t>
            </w:r>
          </w:p>
        </w:tc>
        <w:tc>
          <w:tcPr>
            <w:tcW w:type="dxa" w:w="1440"/>
          </w:tcPr>
          <w:p>
            <w:r>
              <w:rPr>
                <w:b w:val="0"/>
                <w:i w:val="0"/>
              </w:rPr>
              <w:br/>
            </w:r>
            <w:r>
              <w:rPr>
                <w:b/>
                <w:i w:val="0"/>
              </w:rPr>
              <w:t>Diện tích dự án (ha)</w:t>
            </w:r>
          </w:p>
        </w:tc>
        <w:tc>
          <w:tcPr>
            <w:tcW w:type="dxa" w:w="1440"/>
          </w:tcPr>
          <w:p>
            <w:r>
              <w:rPr>
                <w:b w:val="0"/>
                <w:i w:val="0"/>
              </w:rPr>
              <w:br/>
            </w:r>
            <w:r>
              <w:rPr>
                <w:b/>
                <w:i w:val="0"/>
              </w:rPr>
              <w:t>Diện tích cần thu hồi đất (ha)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