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Chỉ thị số 28/CT-UBND Về việc tăng cường công tác quản lý vùng nguyên liệu mía đường phục vụ các nhà máy đường trên địa bàn tỉnh</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UỶ BAN NHÂN DÂN</w:t>
            </w:r>
            <w:r>
              <w:rPr>
                <w:b w:val="0"/>
                <w:i w:val="0"/>
              </w:rPr>
              <w:br/>
            </w:r>
            <w:r>
              <w:rPr>
                <w:b/>
                <w:i w:val="0"/>
              </w:rPr>
              <w:t>TỈNH THANH HOÁ</w:t>
            </w:r>
            <w:r>
              <w:rPr>
                <w:b w:val="0"/>
                <w:i w:val="0"/>
              </w:rPr>
              <w:br/>
            </w:r>
            <w:r>
              <w:rPr>
                <w:b/>
                <w:i w:val="0"/>
              </w:rPr>
              <w:t>————————</w:t>
            </w:r>
            <w:r>
              <w:rPr>
                <w:b w:val="0"/>
                <w:i w:val="0"/>
              </w:rPr>
              <w:br/>
            </w:r>
            <w:r>
              <w:rPr>
                <w:b w:val="0"/>
                <w:i w:val="0"/>
              </w:rPr>
              <w:t xml:space="preserve">    </w:t>
            </w:r>
            <w:r>
              <w:rPr>
                <w:b w:val="0"/>
                <w:i w:val="0"/>
              </w:rPr>
              <w:t>Số: 28/CT-UBND</w:t>
            </w:r>
          </w:p>
        </w:tc>
        <w:tc>
          <w:tcPr>
            <w:tcW w:type="dxa" w:w="4320"/>
          </w:tcPr>
          <w:p>
            <w:r>
              <w:rPr>
                <w:b w:val="0"/>
                <w:i w:val="0"/>
              </w:rPr>
              <w:br/>
            </w:r>
            <w:r>
              <w:rPr>
                <w:b/>
                <w:i w:val="0"/>
              </w:rPr>
              <w:t>CỘNG HOÀ XÃ HỘI CHỦ NGHĨA VIỆT NAM</w:t>
            </w:r>
            <w:r>
              <w:rPr>
                <w:b w:val="0"/>
                <w:i w:val="0"/>
              </w:rPr>
              <w:br/>
            </w:r>
            <w:r>
              <w:rPr>
                <w:b/>
                <w:i w:val="0"/>
              </w:rPr>
              <w:t>Độc lập - Tự do - Hạnh phúc</w:t>
            </w:r>
            <w:r>
              <w:rPr>
                <w:b w:val="0"/>
                <w:i w:val="0"/>
              </w:rPr>
              <w:br/>
            </w:r>
            <w:r>
              <w:rPr>
                <w:b w:val="0"/>
                <w:i w:val="0"/>
              </w:rPr>
              <w:t>————————</w:t>
            </w:r>
            <w:r>
              <w:rPr>
                <w:b w:val="0"/>
                <w:i w:val="0"/>
              </w:rPr>
              <w:br/>
            </w:r>
            <w:r>
              <w:rPr>
                <w:b w:val="0"/>
                <w:i/>
              </w:rPr>
              <w:t>Thanh Hoá, ngày 31</w:t>
            </w:r>
            <w:r>
              <w:rPr>
                <w:b w:val="0"/>
                <w:i/>
              </w:rPr>
              <w:t xml:space="preserve"> </w:t>
            </w:r>
            <w:r>
              <w:rPr>
                <w:b w:val="0"/>
                <w:i/>
              </w:rPr>
              <w:t>tháng 12</w:t>
            </w:r>
            <w:r>
              <w:rPr>
                <w:b w:val="0"/>
                <w:i/>
              </w:rPr>
              <w:t xml:space="preserve"> </w:t>
            </w:r>
            <w:r>
              <w:rPr>
                <w:b w:val="0"/>
                <w:i/>
              </w:rPr>
              <w:t>năm 2010</w:t>
            </w:r>
          </w:p>
        </w:tc>
      </w:tr>
    </w:tbl>
    <w:p>
      <w:r>
        <w:rPr>
          <w:b/>
          <w:i w:val="0"/>
        </w:rPr>
        <w:t>CHỈ THỊ</w:t>
      </w:r>
    </w:p>
    <w:p>
      <w:r>
        <w:rPr>
          <w:b/>
          <w:i w:val="0"/>
        </w:rPr>
        <w:t>Về việc tăng cư­ờng công tác quản lý vùng nguyên liệu mía đường</w:t>
      </w:r>
    </w:p>
    <w:p>
      <w:r>
        <w:rPr>
          <w:b/>
          <w:i w:val="0"/>
        </w:rPr>
        <w:t>phục vụ các nhà máy đường trên địa bàn tỉnh</w:t>
      </w:r>
    </w:p>
    <w:p>
      <w:r>
        <w:rPr>
          <w:b/>
          <w:i w:val="0"/>
        </w:rPr>
        <w:t>___________________</w:t>
      </w:r>
    </w:p>
    <w:p>
      <w:r>
        <w:rPr>
          <w:b w:val="0"/>
          <w:i w:val="0"/>
        </w:rPr>
        <w:t>Ngày 23/12/2010, UBND tỉnh đã tổ chức hội nghị bàn biện pháp giải quyết khó khăn, vướng mắc về nguyên liệu mía phục vụ cho các nhà máy đường trên địa bàn tỉnh. Tuy nhiên, trong mấy ngày qua tình trạng tranh mua, tranh bán mía nguyên liệu, đặc biệt một số thương lái đã thu mua mía nguyên liệu không thông qua hợp đồng vận chuyển bán ra tỉnh ngoài, tình hình trên đã làm ảnh hưởng đến an ninh trật tự, làm giảm sản lượng mía phục vụ cho các nhà máy đường hoạt động, giảm giá trị sản xuất công nghiệp, giảm thu ngân sách trên địa bàn tỉnh. Để khắc phục tình trạng nêu trên, Chủ tịch UBND tỉnh yêu cầu:</w:t>
      </w:r>
    </w:p>
    <w:p>
      <w:r>
        <w:rPr>
          <w:b w:val="0"/>
          <w:i w:val="0"/>
        </w:rPr>
        <w:t>1. Các công ty mía đường trên địa bàn tỉnh chủ động phối hợp với UBND các huyện vùng nguyên liệu khẩn trương rà soát lại hợp đồng đầu tư sản xuất và thu mua nguyên liệu đến từng tổ chức, hộ gia đình, cá nhân có giải pháp tích cực cải tiến phương thức thu mua, phương thức thanh toán, kiểm định hàm lượng đường trong mía, giá cả hợp lý đảm bảo lợi ích cho cả nhà máy và người trồng mía, tổ chức thu mua nguyên liệu theo hợp đồng đã được ký kết, thực hiện nghiêm Quyết định số 80/2002/QĐ-TTg ngày 24/6/2002 của Thủ tướng Chính phủ về Chính sách khuyến khích tiêu thụ nông sản hàng hóa thông qua hợp đồng.</w:t>
      </w:r>
    </w:p>
    <w:p>
      <w:r>
        <w:rPr>
          <w:b w:val="0"/>
          <w:i w:val="0"/>
        </w:rPr>
        <w:t>2. Công an tỉnh chủ trì, phối hợp với Sở Công thương (Chi cục Quản lý thị trường), các công ty mía đường trên địa bàn tỉnh và các đơn vị có liên quan tăng cường kiểm tra, kiểm soát kiên quyết xử lý các đối tượng không có hợp đồng đầu tư sản xuất và thu mua nguyên liệu vào vùng nguyên liệu thu mua, gây mất an ninh trật tự xã hội, gây thất thiệt cho các công ty mía đường, giảm thu ngân sách trên địa bàn tỉnh.</w:t>
      </w:r>
    </w:p>
    <w:p>
      <w:r>
        <w:rPr>
          <w:b w:val="0"/>
          <w:i w:val="0"/>
        </w:rPr>
        <w:t>3. UBND các huyện trong vùng nguyên liệu mía, chỉ đạo UBND các xã và các đơn vị chức năng tăng cường kiểm tra, giám sát việc thực hiện hợp đồng của nhà máy đường và hộ trồng mía; vận động nhân dân bán mía cho các nhà máy trong vùng quy hoạch nguyên liệu đã được UBND tỉnh phê duyệt, đảm bảo đủ nguyên liệu cho nhà máy hoạt động; kiên quyết xử lý các cá nhân, đơn vị không thực hiện hợp đồng thu mua mía nguyên liệu đã ký kết theo quy định của pháp luật.</w:t>
      </w:r>
    </w:p>
    <w:p>
      <w:r>
        <w:rPr>
          <w:b w:val="0"/>
          <w:i w:val="0"/>
        </w:rPr>
        <w:t>4. Giao Sở Nông nghiệp và PTNT chủ trì, phối hợp với Sở Kế hoạch và Đầu tư, Sở Tài chính, các công ty mía đường trên địa bàn tỉnh, UBND các huyện vùng mía và các đơn vị có liên quan có kế hoạch phát triển vùng nguyên liệu đảm bảo diện tích, năng suất, đủ sản lượng mía nguyên liệu, phát huy hết công suất các nhà máy đường hiện có. Triển khai ký kết hợp đồng vụ ép 2011-2012 ngay từ đầu vụ sản xuất theo đúng nội dung Quyết định số 80/2002/QĐ-TTg ngày 24/6/2002 của Thủ tướng Chính phủ và Thông tư số 77/2002/TT-BNN ngày 22/8/2002 của Bộ Nông nghiệp và PTNT về hướng dẫn mẫu hợp đồng tiêu thụ nông sản hàng hóa theo Quyết định số 80/2002/QĐ-TTg ngày 24/6/2002 của Thủ tướng Chính phủ, hướng dẫn, giúp đỡ người trồng mía lập hợp đồng và thực hiện hợp đồng với các nhà máy đường trên địa bàn tỉnh đúng pháp luật, đảm bảo quyền lợi giữa nhà máy với người trồng mía, không để xảy ra tình trạng nêu trên.</w:t>
      </w:r>
    </w:p>
    <w:p>
      <w:r>
        <w:rPr>
          <w:b w:val="0"/>
          <w:i w:val="0"/>
        </w:rPr>
        <w:t>Căn cứ các nội dung nêu trên, yêu cầu giám đốc các sở, thủ trưởng các ngành cấp tỉnh, Chủ tịch UBND các huyện, thị xã trong vùng nguyên liệu mía, các Công ty mía đường thực hiện nghiêm túc Chỉ thị này;</w:t>
      </w:r>
    </w:p>
    <w:p>
      <w:r>
        <w:rPr>
          <w:b w:val="0"/>
          <w:i w:val="0"/>
        </w:rPr>
        <w:t>Giao Sở Nông nghiệp và PTNT theo dõi, tổng hợp báo kết quả thực hiện về UBND tỉnh./.</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rPr>
                <w:b/>
                <w:i/>
              </w:rPr>
              <w:t xml:space="preserve">      </w:t>
            </w:r>
            <w:r>
              <w:rPr>
                <w:b w:val="0"/>
                <w:i w:val="0"/>
              </w:rPr>
              <w:t xml:space="preserve">                        </w:t>
            </w:r>
            <w:r>
              <w:rPr>
                <w:b/>
                <w:i w:val="0"/>
              </w:rPr>
              <w:t xml:space="preserve">                                         </w:t>
            </w:r>
            <w:r>
              <w:rPr>
                <w:b w:val="0"/>
                <w:i w:val="0"/>
              </w:rPr>
              <w:br/>
            </w:r>
            <w:r>
              <w:rPr>
                <w:b w:val="0"/>
                <w:i w:val="0"/>
              </w:rPr>
              <w:t>- Nh­­ư trên;</w:t>
            </w:r>
            <w:r>
              <w:rPr>
                <w:b/>
                <w:i w:val="0"/>
              </w:rPr>
              <w:t xml:space="preserve"> </w:t>
            </w:r>
            <w:r>
              <w:rPr>
                <w:b w:val="0"/>
                <w:i w:val="0"/>
              </w:rPr>
              <w:br/>
            </w:r>
            <w:r>
              <w:rPr>
                <w:b w:val="0"/>
                <w:i w:val="0"/>
              </w:rPr>
              <w:t xml:space="preserve">- </w:t>
            </w:r>
            <w:r>
              <w:rPr>
                <w:b w:val="0"/>
                <w:i w:val="0"/>
              </w:rPr>
              <w:t>Chủ tịch UBND tỉnh (để b/c);</w:t>
            </w:r>
            <w:r>
              <w:rPr>
                <w:b/>
                <w:i w:val="0"/>
              </w:rPr>
              <w:t xml:space="preserve">                              </w:t>
            </w:r>
            <w:r>
              <w:rPr>
                <w:b w:val="0"/>
                <w:i w:val="0"/>
              </w:rPr>
              <w:br/>
            </w:r>
            <w:r>
              <w:rPr>
                <w:b w:val="0"/>
                <w:i w:val="0"/>
              </w:rPr>
              <w:t>- Các đơn vị liên quan;</w:t>
            </w:r>
            <w:r>
              <w:rPr>
                <w:b w:val="0"/>
                <w:i w:val="0"/>
              </w:rPr>
              <w:br/>
            </w:r>
            <w:r>
              <w:rPr>
                <w:b w:val="0"/>
                <w:i w:val="0"/>
              </w:rPr>
              <w:t>- Lư­­­u: VT, NN.</w:t>
            </w:r>
            <w:r>
              <w:rPr>
                <w:b w:val="0"/>
                <w:i w:val="0"/>
              </w:rPr>
              <w:br/>
            </w:r>
            <w:r>
              <w:rPr>
                <w:b w:val="0"/>
                <w:i w:val="0"/>
              </w:rPr>
              <w:t xml:space="preserve"> </w:t>
            </w:r>
            <w:r>
              <w:rPr>
                <w:b w:val="0"/>
                <w:i w:val="0"/>
              </w:rPr>
              <w:t>(Truc234.Miaduong)</w:t>
            </w:r>
            <w:r>
              <w:rPr>
                <w:b w:val="0"/>
                <w:i w:val="0"/>
              </w:rPr>
              <w:t xml:space="preserve">                                </w:t>
            </w:r>
            <w:r>
              <w:rPr>
                <w:b w:val="0"/>
                <w:i w:val="0"/>
              </w:rPr>
              <w:t xml:space="preserve">            </w:t>
            </w:r>
          </w:p>
        </w:tc>
        <w:tc>
          <w:tcPr>
            <w:tcW w:type="dxa" w:w="4320"/>
          </w:tcPr>
          <w:p>
            <w:r>
              <w:rPr>
                <w:b w:val="0"/>
                <w:i w:val="0"/>
              </w:rPr>
              <w:br/>
            </w:r>
            <w:r>
              <w:rPr>
                <w:b/>
                <w:i w:val="0"/>
              </w:rPr>
              <w:t>TM. UỶ BAN NHÂN DÂN</w:t>
            </w:r>
            <w:r>
              <w:rPr>
                <w:b w:val="0"/>
                <w:i w:val="0"/>
              </w:rPr>
              <w:br/>
            </w:r>
            <w:r>
              <w:rPr>
                <w:b/>
                <w:i w:val="0"/>
              </w:rPr>
              <w:t>KT. CHỦ TỊCH</w:t>
            </w:r>
            <w:r>
              <w:rPr>
                <w:b w:val="0"/>
                <w:i w:val="0"/>
              </w:rPr>
              <w:br/>
            </w:r>
            <w:r>
              <w:rPr>
                <w:b/>
                <w:i w:val="0"/>
              </w:rPr>
              <w:t>PHÓ CHỦ TỊCH</w:t>
            </w:r>
            <w:r>
              <w:rPr>
                <w:b w:val="0"/>
                <w:i w:val="0"/>
              </w:rPr>
              <w:t xml:space="preserve"> </w:t>
            </w:r>
            <w:r>
              <w:rPr>
                <w:b w:val="0"/>
                <w:i w:val="0"/>
              </w:rPr>
              <w:br/>
            </w:r>
            <w:r>
              <w:rPr>
                <w:b w:val="0"/>
                <w:i/>
              </w:rPr>
              <w:t>(đã ký)</w:t>
            </w:r>
            <w:r>
              <w:rPr>
                <w:b w:val="0"/>
                <w:i w:val="0"/>
              </w:rPr>
              <w:t xml:space="preserve"> </w:t>
            </w:r>
            <w:r>
              <w:rPr>
                <w:b w:val="0"/>
                <w:i w:val="0"/>
              </w:rPr>
              <w:br/>
            </w:r>
            <w:r>
              <w:rPr>
                <w:b/>
                <w:i w:val="0"/>
              </w:rPr>
              <w:t>Nguyễn Đức Quyền</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