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2905/QĐ-BTC Về việc đính chính Thông tư số 153/2010/TT-BTC ngày 28/9/2010 của Bộ Tài chính hướng dẫn thi hành Nghị định số 51/2010/NĐ-CP ngày 14 tháng 5 năm 2010 của Chính phủ quy định về hoá đơn bán hàng hoá, cung ứng dịch vụ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BỘ TÀI CHÍNH</w:t>
      </w:r>
      <w:r>
        <w:rPr>
          <w:b w:val="0"/>
          <w:i w:val="0"/>
        </w:rPr>
        <w:br/>
      </w:r>
      <w:r>
        <w:rPr>
          <w:b w:val="0"/>
          <w:i w:val="0"/>
        </w:rPr>
        <w:t>-------------</w:t>
      </w:r>
      <w:r>
        <w:rPr>
          <w:b w:val="0"/>
          <w:i w:val="0"/>
        </w:rPr>
        <w:br/>
      </w:r>
      <w:r>
        <w:rPr>
          <w:b w:val="0"/>
          <w:i w:val="0"/>
        </w:rPr>
        <w:t>Số: 2905/QĐ-BTC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HOÀ XÃ HỘI CHỦ NGHĨA VIỆT NAM</w:t>
      </w:r>
      <w:r>
        <w:rPr>
          <w:b w:val="0"/>
          <w:i w:val="0"/>
        </w:rPr>
        <w:br/>
      </w:r>
      <w:r>
        <w:rPr>
          <w:b/>
          <w:i w:val="0"/>
        </w:rPr>
        <w:t>Độc lập - Tự do - Hạnh phúc</w:t>
      </w:r>
      <w:r>
        <w:rPr>
          <w:b w:val="0"/>
          <w:i w:val="0"/>
        </w:rPr>
        <w:br/>
      </w:r>
      <w:r>
        <w:rPr>
          <w:b w:val="0"/>
          <w:i w:val="0"/>
        </w:rPr>
        <w:t>-------------------------------</w:t>
      </w:r>
      <w:r>
        <w:rPr>
          <w:b w:val="0"/>
          <w:i w:val="0"/>
        </w:rPr>
        <w:br/>
      </w:r>
      <w:r>
        <w:rPr>
          <w:b w:val="0"/>
          <w:i/>
        </w:rPr>
        <w:t>Hà Nội, ngày 09 tháng 11 năm 2010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 xml:space="preserve">Về việc đính chính Thông tư số 153/2010/TT-BTC ngày 28/9/2010 </w:t>
      </w:r>
      <w:r>
        <w:rPr>
          <w:b w:val="0"/>
          <w:i w:val="0"/>
        </w:rPr>
        <w:br/>
      </w:r>
      <w:r>
        <w:rPr>
          <w:b/>
          <w:i w:val="0"/>
        </w:rPr>
        <w:t xml:space="preserve">của Bộ Tài chính hướng dẫn thi hành Nghị định số 51/2010/NĐ-CP </w:t>
      </w:r>
      <w:r>
        <w:rPr>
          <w:b w:val="0"/>
          <w:i w:val="0"/>
        </w:rPr>
        <w:br/>
      </w:r>
      <w:r>
        <w:rPr>
          <w:b/>
          <w:i w:val="0"/>
        </w:rPr>
        <w:t xml:space="preserve">ngày 14 tháng 5 năm 2010 của Chính phủ quy định </w:t>
      </w:r>
      <w:r>
        <w:rPr>
          <w:b w:val="0"/>
          <w:i w:val="0"/>
        </w:rPr>
        <w:br/>
      </w:r>
      <w:r>
        <w:rPr>
          <w:b/>
          <w:i w:val="0"/>
        </w:rPr>
        <w:t>về hoá đơn bán hàng hoá, cung ứng dịch vụ</w:t>
      </w:r>
      <w:r>
        <w:rPr>
          <w:b w:val="0"/>
          <w:i w:val="0"/>
        </w:rPr>
        <w:br/>
      </w:r>
      <w:r>
        <w:rPr>
          <w:b w:val="0"/>
          <w:i w:val="0"/>
        </w:rPr>
        <w:t>--------------------------</w:t>
      </w:r>
      <w:r>
        <w:rPr>
          <w:b w:val="0"/>
          <w:i w:val="0"/>
        </w:rPr>
        <w:br/>
      </w:r>
      <w:r>
        <w:rPr>
          <w:b/>
          <w:i w:val="0"/>
        </w:rPr>
        <w:t>BỘ TRƯỞNG BỘ TÀI CHÍNH</w:t>
      </w:r>
      <w:r>
        <w:rPr>
          <w:b w:val="0"/>
          <w:i w:val="0"/>
        </w:rPr>
        <w:br/>
      </w:r>
      <w:r>
        <w:rPr>
          <w:b w:val="0"/>
          <w:i w:val="0"/>
        </w:rPr>
        <w:t>Căn cứ Luật ban hành văn bản quy phạm pháp luật số 17/2008/QH12 ngày 03/6/2008;</w:t>
      </w:r>
      <w:r>
        <w:rPr>
          <w:b w:val="0"/>
          <w:i w:val="0"/>
        </w:rPr>
        <w:br/>
      </w:r>
      <w:r>
        <w:rPr>
          <w:b w:val="0"/>
          <w:i w:val="0"/>
        </w:rPr>
        <w:t>Căn cứ Nghị định số 104/2004/NĐ-CP ngày 23/3/2004 của Chính phủ về Công báo nước Cộng hòa xã hội chủ nghĩa Việt Nam;</w:t>
      </w:r>
      <w:r>
        <w:rPr>
          <w:b w:val="0"/>
          <w:i w:val="0"/>
        </w:rPr>
        <w:br/>
      </w:r>
      <w:r>
        <w:rPr>
          <w:b w:val="0"/>
          <w:i w:val="0"/>
        </w:rPr>
        <w:t>Căn cứ Nghị định số 118/2008/NĐ-CP ngày 27/11/2008 của Chính phủ quy định chức năng, nhiệm vụ, quyền hạn và cơ cấu tổ chức của Bộ Tài chính;</w:t>
      </w:r>
      <w:r>
        <w:rPr>
          <w:b w:val="0"/>
          <w:i w:val="0"/>
        </w:rPr>
        <w:br/>
      </w:r>
      <w:r>
        <w:rPr>
          <w:b w:val="0"/>
          <w:i w:val="0"/>
        </w:rPr>
        <w:t>Theo đề nghị của Tổng cục trưởng Tổng cục Thuế,</w:t>
      </w:r>
      <w:r>
        <w:rPr>
          <w:b w:val="0"/>
          <w:i w:val="0"/>
        </w:rPr>
        <w:br/>
      </w:r>
      <w:r>
        <w:rPr>
          <w:b/>
          <w:i w:val="0"/>
        </w:rPr>
        <w:t xml:space="preserve"> QUYẾT ĐỊNH:</w:t>
      </w:r>
      <w:r>
        <w:rPr>
          <w:b w:val="0"/>
          <w:i w:val="0"/>
        </w:rPr>
        <w:br/>
      </w:r>
      <w:r>
        <w:rPr>
          <w:b/>
          <w:i w:val="0"/>
        </w:rPr>
        <w:t>Điều 1.</w:t>
      </w:r>
      <w:r>
        <w:rPr>
          <w:b w:val="0"/>
          <w:i w:val="0"/>
        </w:rPr>
        <w:t xml:space="preserve"> Đính chính một số nội dung tại Thông tư và các Phụ lục 1, Phụ lục 3, Phụ lục 5 ban hành kèm theo Thông tư số 153/2010/TT-BTC ngày 28/9/2010 của Bộ Tài chính hướng dẫn thi hành Nghị định số 51/2010/NĐ-CP ngày 14/5/2010 của Chính phủ quy định về hoá đơn bán hàng hoá, cung ứng dịch vụ (các mẫu bảng, biểu đính chính đính kèm theo) như sau:</w:t>
      </w:r>
      <w:r>
        <w:rPr>
          <w:b w:val="0"/>
          <w:i w:val="0"/>
        </w:rPr>
        <w:br/>
      </w:r>
      <w:r>
        <w:rPr>
          <w:b w:val="0"/>
          <w:i w:val="0"/>
        </w:rPr>
        <w:t>1. Về hoá đơn xuất khẩu, tại khoản 1 Điều 4 đã in là:</w:t>
      </w:r>
      <w:r>
        <w:rPr>
          <w:b w:val="0"/>
          <w:i w:val="0"/>
        </w:rPr>
        <w:br/>
      </w:r>
      <w:r>
        <w:rPr>
          <w:b w:val="0"/>
          <w:i w:val="0"/>
        </w:rPr>
        <w:t>“Đối với hoá đơn xuất khẩu, nội dung đã lập trên hoá đơn xuất khẩu phải bao gồm: số thứ tự hoá đơn; tên, địa chỉ đơn vị xuất khẩu; tên, địa chỉ đơn vị nhập khẩu; tên hàng hoá, dịch vụ, đơn vị tính, số lượng, đơn giá, thành tiền, chữ ký của đơn vị xuất khẩu (mẫu số 5.4 Phụ lục 5 ban hành kèm theo Thông tư này)”.</w:t>
      </w:r>
      <w:r>
        <w:rPr>
          <w:b w:val="0"/>
          <w:i w:val="0"/>
        </w:rPr>
        <w:br/>
      </w:r>
      <w:r>
        <w:rPr>
          <w:b/>
          <w:i/>
        </w:rPr>
        <w:t>Nay sửa thành: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“Đối với hoá đơn xuất khẩu, nội dung đã lập trên hoá đơn xuất khẩu phải bao gồm: số thứ tự hoá đơn; </w:t>
      </w:r>
      <w:r>
        <w:rPr>
          <w:b w:val="0"/>
          <w:i/>
        </w:rPr>
        <w:t>ký hiệu mẫu số hoá đơn; ký hiệu hoá đơn</w:t>
      </w:r>
      <w:r>
        <w:rPr>
          <w:b w:val="0"/>
          <w:i w:val="0"/>
        </w:rPr>
        <w:t>; tên, địa chỉ đơn vị xuất khẩu; tên, địa chỉ đơn vị nhập khẩu; tên hàng hoá, dịch vụ, đơn vị tính, số lượng, đơn giá, thành tiền, chữ ký của đơn vị xuất khẩu (mẫu số 5.4 Phụ lục 5 ban hành kèm theo Thông tư này)”.</w:t>
      </w:r>
      <w:r>
        <w:rPr>
          <w:b w:val="0"/>
          <w:i w:val="0"/>
        </w:rPr>
        <w:br/>
      </w:r>
      <w:r>
        <w:rPr>
          <w:b w:val="0"/>
          <w:i w:val="0"/>
        </w:rPr>
        <w:t>2. Tại điểm 1.3 Phụ lục 1, đã in là:</w:t>
      </w:r>
      <w:r>
        <w:rPr>
          <w:b w:val="0"/>
          <w:i w:val="0"/>
        </w:rPr>
        <w:br/>
      </w:r>
      <w:r>
        <w:rPr>
          <w:b w:val="0"/>
          <w:i w:val="0"/>
        </w:rPr>
        <w:t>“3 ký tự cuối cùng thể hiện năm thông báo phát hành hoá đơn và hình thức hoá đơn.</w:t>
      </w:r>
      <w:r>
        <w:rPr>
          <w:b w:val="0"/>
          <w:i w:val="0"/>
        </w:rPr>
        <w:br/>
      </w:r>
      <w:r>
        <w:rPr>
          <w:b w:val="0"/>
          <w:i w:val="0"/>
        </w:rPr>
        <w:t>Năm thông báo phát hành hoá đơn được thể hiện bằng hai số cuối của năm thông báo phát hành”</w:t>
      </w:r>
      <w:r>
        <w:rPr>
          <w:b w:val="0"/>
          <w:i w:val="0"/>
        </w:rPr>
        <w:br/>
      </w:r>
      <w:r>
        <w:rPr>
          <w:b/>
          <w:i/>
        </w:rPr>
        <w:t>Nay sửa thành: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“3 ký tự cuối cùng thể hiện năm </w:t>
      </w:r>
      <w:r>
        <w:rPr>
          <w:b w:val="0"/>
          <w:i/>
        </w:rPr>
        <w:t>tạo</w:t>
      </w:r>
      <w:r>
        <w:rPr>
          <w:b w:val="0"/>
          <w:i w:val="0"/>
        </w:rPr>
        <w:t xml:space="preserve"> hoá đơn và hình thức hoá đơn.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Năm </w:t>
      </w:r>
      <w:r>
        <w:rPr>
          <w:b w:val="0"/>
          <w:i/>
        </w:rPr>
        <w:t>tạo</w:t>
      </w:r>
      <w:r>
        <w:rPr>
          <w:b w:val="0"/>
          <w:i w:val="0"/>
        </w:rPr>
        <w:t xml:space="preserve"> hoá đơn được thể hiện bằng hai số cuối của năm”.</w:t>
      </w:r>
      <w:r>
        <w:rPr>
          <w:b w:val="0"/>
          <w:i w:val="0"/>
        </w:rPr>
        <w:br/>
      </w:r>
      <w:r>
        <w:rPr>
          <w:b w:val="0"/>
          <w:i w:val="0"/>
        </w:rPr>
        <w:t>3. Mẫu 3.1, mẫu 3.2 tại Phụ lục 3</w:t>
      </w:r>
      <w:r>
        <w:rPr>
          <w:b w:val="0"/>
          <w:i w:val="0"/>
        </w:rPr>
        <w:br/>
      </w:r>
      <w:r>
        <w:rPr>
          <w:b w:val="0"/>
          <w:i w:val="0"/>
        </w:rPr>
        <w:t>- Tại phần thông tin người bán hàng và người mua hàng, đã in tiêu thức “ địa chỉ” và “số tài khoản” cùng một dòng.</w:t>
      </w:r>
      <w:r>
        <w:rPr>
          <w:b w:val="0"/>
          <w:i w:val="0"/>
        </w:rPr>
        <w:br/>
      </w:r>
      <w:r>
        <w:rPr>
          <w:b/>
          <w:i/>
        </w:rPr>
        <w:t>Nay sửa thành:</w:t>
      </w:r>
      <w:r>
        <w:rPr>
          <w:b w:val="0"/>
          <w:i w:val="0"/>
        </w:rPr>
        <w:br/>
      </w:r>
      <w:r>
        <w:rPr>
          <w:b w:val="0"/>
          <w:i w:val="0"/>
        </w:rPr>
        <w:t>- Tại phần thông tin người bán hàng, chuyển tiêu thức “số tài khoản” xuống cùng dòng “điện thoại”.</w:t>
      </w:r>
      <w:r>
        <w:rPr>
          <w:b w:val="0"/>
          <w:i w:val="0"/>
        </w:rPr>
        <w:br/>
      </w:r>
      <w:r>
        <w:rPr>
          <w:b w:val="0"/>
          <w:i w:val="0"/>
        </w:rPr>
        <w:t>- Tại phần thông tin người mua hàng, chuyển tiêu thức “số tài khoản” xuống thành dòng riêng.</w:t>
      </w:r>
      <w:r>
        <w:rPr>
          <w:b w:val="0"/>
          <w:i w:val="0"/>
        </w:rPr>
        <w:br/>
      </w:r>
      <w:r>
        <w:rPr>
          <w:b w:val="0"/>
          <w:i w:val="0"/>
        </w:rPr>
        <w:t>4. Mẫu 3.4 tại Phụ lục 3, bỏ tiêu thức “Thủ trưởng cơ quan thuế ký duyệt”.</w:t>
      </w:r>
      <w:r>
        <w:rPr>
          <w:b w:val="0"/>
          <w:i w:val="0"/>
        </w:rPr>
        <w:br/>
      </w:r>
      <w:r>
        <w:rPr>
          <w:b w:val="0"/>
          <w:i w:val="0"/>
        </w:rPr>
        <w:t>5. Mẫu 3.5 tại Phụ lục 3,</w:t>
      </w:r>
      <w:r>
        <w:rPr>
          <w:b/>
          <w:i/>
        </w:rPr>
        <w:t xml:space="preserve"> </w:t>
      </w:r>
      <w:r>
        <w:rPr>
          <w:b w:val="0"/>
          <w:i w:val="0"/>
        </w:rPr>
        <w:t>đã in là:</w:t>
      </w:r>
      <w:r>
        <w:rPr>
          <w:b w:val="0"/>
          <w:i w:val="0"/>
        </w:rPr>
        <w:br/>
      </w:r>
      <w:r>
        <w:rPr>
          <w:b w:val="0"/>
          <w:i w:val="0"/>
        </w:rPr>
        <w:t>“Tên đơn vị phát hành hoá đơn (Công ty A/Cục Thuế TP Hà Nội)”</w:t>
      </w:r>
      <w:r>
        <w:rPr>
          <w:b w:val="0"/>
          <w:i w:val="0"/>
        </w:rPr>
        <w:br/>
      </w:r>
      <w:r>
        <w:rPr>
          <w:b/>
          <w:i/>
        </w:rPr>
        <w:t>Nay sửa thành:</w:t>
      </w:r>
      <w:r>
        <w:rPr>
          <w:b w:val="0"/>
          <w:i w:val="0"/>
        </w:rPr>
        <w:br/>
      </w:r>
      <w:r>
        <w:rPr>
          <w:b w:val="0"/>
          <w:i w:val="0"/>
        </w:rPr>
        <w:t>- “Tên đơn vị phát hành hoá đơn”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- Thêm “Mẫu: TB01/AC </w:t>
      </w:r>
      <w:r>
        <w:rPr>
          <w:b w:val="0"/>
          <w:i/>
        </w:rPr>
        <w:t xml:space="preserve">(Ban hành kèm theo Thông tư số 153/2010/TT-BTC ngày 28/9/2010 của Bộ Tài chính)” </w:t>
      </w:r>
      <w:r>
        <w:rPr>
          <w:b w:val="0"/>
          <w:i w:val="0"/>
        </w:rPr>
        <w:t>đặt tại góc bên phải của mẫu này.</w:t>
      </w:r>
      <w:r>
        <w:rPr>
          <w:b w:val="0"/>
          <w:i w:val="0"/>
        </w:rPr>
        <w:br/>
      </w:r>
      <w:r>
        <w:rPr>
          <w:b w:val="0"/>
          <w:i w:val="0"/>
        </w:rPr>
        <w:t>- Thêm cột “Hợp đồng đặt in” gồm 2 cột nhỏ “Số” và “Ngày”</w:t>
      </w:r>
      <w:r>
        <w:rPr>
          <w:b w:val="0"/>
          <w:i w:val="0"/>
        </w:rPr>
        <w:br/>
      </w:r>
      <w:r>
        <w:rPr>
          <w:b w:val="0"/>
          <w:i w:val="0"/>
        </w:rPr>
        <w:t>6. Mẫu 3.6 tại Phụ lục 3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- Thêm “Mẫu: TB 02/AC </w:t>
      </w:r>
      <w:r>
        <w:rPr>
          <w:b w:val="0"/>
          <w:i/>
        </w:rPr>
        <w:t xml:space="preserve">(Ban hành kèm theo Thông tư số 153/2010/TT-BTC ngày 28/9/2010 của Bộ Tài chính)” </w:t>
      </w:r>
      <w:r>
        <w:rPr>
          <w:b w:val="0"/>
          <w:i w:val="0"/>
        </w:rPr>
        <w:t>đặt tại góc bên phải của mẫu này.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Thêm cột “Hợp đồng đặt in” gồm 2 cột nhỏ “Số” và “Ngày”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7. Mẫu 3.9 tại Phụ lục 3</w:t>
      </w:r>
      <w:r>
        <w:rPr>
          <w:b/>
          <w:i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t>- Thêm cột “Từ số… đến số”.</w:t>
      </w:r>
      <w:r>
        <w:rPr>
          <w:b w:val="0"/>
          <w:i w:val="0"/>
        </w:rPr>
        <w:br/>
      </w:r>
      <w:r>
        <w:rPr>
          <w:b w:val="0"/>
          <w:i w:val="0"/>
        </w:rPr>
        <w:t>- Thay cột “Hình thức hoá đơn” thành cột “Ký hiệu hoá đơn”.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- Thêm “Mẫu: BC 26/AC </w:t>
      </w:r>
      <w:r>
        <w:rPr>
          <w:b w:val="0"/>
          <w:i/>
        </w:rPr>
        <w:t>(Ban hành kèm theo Thông tư số 153/2010/TT-BTC ngày 28/9/2010 của Bộ Tài chính)”</w:t>
      </w:r>
      <w:r>
        <w:rPr>
          <w:b w:val="0"/>
          <w:i w:val="0"/>
        </w:rPr>
        <w:t xml:space="preserve"> đặt tại góc bên phải của mẫu này</w:t>
      </w:r>
      <w:r>
        <w:rPr>
          <w:b w:val="0"/>
          <w:i w:val="0"/>
        </w:rPr>
        <w:br/>
      </w:r>
      <w:r>
        <w:rPr>
          <w:b w:val="0"/>
          <w:i w:val="0"/>
        </w:rPr>
        <w:t>8. Mẫu 3.11 tại Phụ lục 3</w:t>
      </w:r>
      <w:r>
        <w:rPr>
          <w:b/>
          <w:i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Thêm “Mẫu: TB 03/AC </w:t>
      </w:r>
      <w:r>
        <w:rPr>
          <w:b w:val="0"/>
          <w:i/>
        </w:rPr>
        <w:t>(Ban hành kèm theo Thông tư số 153/2010/TT-BTC ngày 28/9/2010 của Bộ Tài chính)”</w:t>
      </w:r>
      <w:r>
        <w:rPr>
          <w:b w:val="0"/>
          <w:i w:val="0"/>
        </w:rPr>
        <w:t xml:space="preserve"> đặt tại góc bên phải của mẫu này.</w:t>
      </w:r>
      <w:r>
        <w:rPr>
          <w:b w:val="0"/>
          <w:i w:val="0"/>
        </w:rPr>
        <w:br/>
      </w:r>
      <w:r>
        <w:rPr>
          <w:b w:val="0"/>
          <w:i w:val="0"/>
        </w:rPr>
        <w:t>- Bỏ dòng “ngày… tháng… năm” phía trên tiêu đề mẫu “Thông báo kết quả huỷ hoá đơn”.</w:t>
      </w:r>
      <w:r>
        <w:rPr>
          <w:b w:val="0"/>
          <w:i w:val="0"/>
        </w:rPr>
        <w:br/>
      </w:r>
      <w:r>
        <w:rPr>
          <w:b w:val="0"/>
          <w:i w:val="0"/>
        </w:rPr>
        <w:t>9. Mẫu 5.1 Phụ lục 5</w:t>
      </w:r>
      <w:r>
        <w:rPr>
          <w:b w:val="0"/>
          <w:i w:val="0"/>
        </w:rPr>
        <w:br/>
      </w:r>
      <w:r>
        <w:rPr>
          <w:b w:val="0"/>
          <w:i w:val="0"/>
        </w:rPr>
        <w:t>- Tại phần thông tin người mua hàng, đã in thiếu tiêu thức “mã số thuế”; đã in tiêu thức “địa chỉ” và “số tài khoản” cùng một dòng.</w:t>
      </w:r>
      <w:r>
        <w:rPr>
          <w:b w:val="0"/>
          <w:i w:val="0"/>
        </w:rPr>
        <w:br/>
      </w:r>
      <w:r>
        <w:rPr>
          <w:b w:val="0"/>
          <w:i w:val="0"/>
        </w:rPr>
        <w:t>Nay sửa thành:</w:t>
      </w:r>
      <w:r>
        <w:rPr>
          <w:b w:val="0"/>
          <w:i w:val="0"/>
        </w:rPr>
        <w:br/>
      </w:r>
      <w:r>
        <w:rPr>
          <w:b w:val="0"/>
          <w:i w:val="0"/>
        </w:rPr>
        <w:t>- Tại phần thông tin người mua hàng thêm tiêu thức “mã số thuế”.</w:t>
      </w:r>
      <w:r>
        <w:rPr>
          <w:b w:val="0"/>
          <w:i w:val="0"/>
        </w:rPr>
        <w:br/>
      </w:r>
      <w:r>
        <w:rPr>
          <w:b w:val="0"/>
          <w:i w:val="0"/>
        </w:rPr>
        <w:t>- Chuyển tiêu thức “số tài khoản” xuống cùng dòng với tiêu thức “hình thức thanh toán”.</w:t>
      </w:r>
      <w:r>
        <w:rPr>
          <w:b w:val="0"/>
          <w:i w:val="0"/>
        </w:rPr>
        <w:br/>
      </w:r>
      <w:r>
        <w:rPr>
          <w:b w:val="0"/>
          <w:i w:val="0"/>
        </w:rPr>
        <w:t>10. Mẫu 5.6 tại Phụ lục 5:</w:t>
      </w:r>
      <w:r>
        <w:rPr>
          <w:b w:val="0"/>
          <w:i w:val="0"/>
        </w:rPr>
        <w:br/>
      </w:r>
      <w:r>
        <w:rPr>
          <w:b w:val="0"/>
          <w:i w:val="0"/>
        </w:rPr>
        <w:t>- Phần Ghi chú, đã in là: “Liên 2: Dùng để vận chuyển hàng”</w:t>
      </w:r>
      <w:r>
        <w:rPr>
          <w:b w:val="0"/>
          <w:i w:val="0"/>
        </w:rPr>
        <w:br/>
      </w:r>
      <w:r>
        <w:rPr>
          <w:b/>
          <w:i/>
        </w:rPr>
        <w:t xml:space="preserve">Nay sửa thành: </w:t>
      </w:r>
      <w:r>
        <w:rPr>
          <w:b w:val="0"/>
          <w:i w:val="0"/>
        </w:rPr>
        <w:br/>
      </w:r>
      <w:r>
        <w:rPr>
          <w:b w:val="0"/>
          <w:i w:val="0"/>
        </w:rPr>
        <w:t>- “Liên 2: Giao cho đại lý bán hàng”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kể từ ngày ký và áp dụng từ ngày 01/01/2011 cùng thời điểm có hiệu lực của Thông tư số 153/2010/TT-BTC ngày 28/9/2010 của Bộ Tài chính./.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TUQ. BỘ TRƯỞNG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- Thủ tướng Chính phủ, các Phó thủ tướng Chính phủ;</w:t>
      </w:r>
      <w:r>
        <w:rPr>
          <w:b w:val="0"/>
          <w:i w:val="0"/>
        </w:rPr>
        <w:br/>
      </w:r>
      <w:r>
        <w:rPr>
          <w:b w:val="0"/>
          <w:i w:val="0"/>
        </w:rPr>
        <w:t>- Văn phòng Trung ương và các Ban của Đảng;</w:t>
      </w:r>
      <w:r>
        <w:rPr>
          <w:b w:val="0"/>
          <w:i w:val="0"/>
        </w:rPr>
        <w:br/>
      </w:r>
      <w:r>
        <w:rPr>
          <w:b w:val="0"/>
          <w:i w:val="0"/>
        </w:rPr>
        <w:t>- Văn phòng Quốc hội;</w:t>
      </w:r>
      <w:r>
        <w:rPr>
          <w:b w:val="0"/>
          <w:i w:val="0"/>
        </w:rPr>
        <w:br/>
      </w:r>
      <w:r>
        <w:rPr>
          <w:b w:val="0"/>
          <w:i w:val="0"/>
        </w:rPr>
        <w:t>- Văn phòng Chủ tịch nước;</w:t>
      </w:r>
      <w:r>
        <w:rPr>
          <w:b w:val="0"/>
          <w:i w:val="0"/>
        </w:rPr>
        <w:br/>
      </w:r>
      <w:r>
        <w:rPr>
          <w:b w:val="0"/>
          <w:i w:val="0"/>
        </w:rPr>
        <w:t>- Viện Kiểm sát nhân dân tối cao;</w:t>
      </w:r>
      <w:r>
        <w:rPr>
          <w:b w:val="0"/>
          <w:i w:val="0"/>
        </w:rPr>
        <w:br/>
      </w:r>
      <w:r>
        <w:rPr>
          <w:b w:val="0"/>
          <w:i w:val="0"/>
        </w:rPr>
        <w:t>- Văn phòng BCĐ phòng chống tham nhũng Trung ương;</w:t>
      </w:r>
      <w:r>
        <w:rPr>
          <w:b w:val="0"/>
          <w:i w:val="0"/>
        </w:rPr>
        <w:br/>
      </w:r>
      <w:r>
        <w:rPr>
          <w:b w:val="0"/>
          <w:i w:val="0"/>
        </w:rPr>
        <w:t>- Toà án nhân dân tối cao;</w:t>
      </w:r>
      <w:r>
        <w:rPr>
          <w:b w:val="0"/>
          <w:i w:val="0"/>
        </w:rPr>
        <w:br/>
      </w:r>
      <w:r>
        <w:rPr>
          <w:b w:val="0"/>
          <w:i w:val="0"/>
        </w:rPr>
        <w:t>- Kiểm toán nhà nước;</w:t>
      </w:r>
      <w:r>
        <w:rPr>
          <w:b w:val="0"/>
          <w:i w:val="0"/>
        </w:rPr>
        <w:br/>
      </w:r>
      <w:r>
        <w:rPr>
          <w:b w:val="0"/>
          <w:i w:val="0"/>
        </w:rPr>
        <w:t>- Các Bộ, cơ quan ngang Bộ,</w:t>
      </w:r>
      <w:r>
        <w:rPr>
          <w:b w:val="0"/>
          <w:i w:val="0"/>
        </w:rPr>
        <w:br/>
      </w:r>
      <w:r>
        <w:rPr>
          <w:b w:val="0"/>
          <w:i w:val="0"/>
        </w:rPr>
        <w:t>cơ quan thuộc Chính phủ,</w:t>
      </w:r>
      <w:r>
        <w:rPr>
          <w:b w:val="0"/>
          <w:i w:val="0"/>
        </w:rPr>
        <w:br/>
      </w:r>
      <w:r>
        <w:rPr>
          <w:b w:val="0"/>
          <w:i w:val="0"/>
        </w:rPr>
        <w:t>- Cơ quan Trung ương của các đoàn thể;</w:t>
      </w:r>
      <w:r>
        <w:rPr>
          <w:b w:val="0"/>
          <w:i w:val="0"/>
        </w:rPr>
        <w:br/>
      </w:r>
      <w:r>
        <w:rPr>
          <w:b w:val="0"/>
          <w:i w:val="0"/>
        </w:rPr>
        <w:t>- Hội đồng nhân dân, Uỷ ban nhân dân,</w:t>
      </w:r>
      <w:r>
        <w:rPr>
          <w:b w:val="0"/>
          <w:i w:val="0"/>
        </w:rPr>
        <w:br/>
      </w:r>
      <w:r>
        <w:rPr>
          <w:b w:val="0"/>
          <w:i w:val="0"/>
        </w:rPr>
        <w:t>Sở Tài chính, Cục Thuế, Kho bạc nhà nước</w:t>
      </w:r>
      <w:r>
        <w:rPr>
          <w:b w:val="0"/>
          <w:i w:val="0"/>
        </w:rPr>
        <w:br/>
      </w:r>
      <w:r>
        <w:rPr>
          <w:b w:val="0"/>
          <w:i w:val="0"/>
        </w:rPr>
        <w:t>các tỉnh, thành phố trực thuộc Trung ương;</w:t>
      </w:r>
      <w:r>
        <w:rPr>
          <w:b w:val="0"/>
          <w:i w:val="0"/>
        </w:rPr>
        <w:br/>
      </w:r>
      <w:r>
        <w:rPr>
          <w:b w:val="0"/>
          <w:i w:val="0"/>
        </w:rPr>
        <w:t>- Công báo;</w:t>
      </w:r>
      <w:r>
        <w:rPr>
          <w:b w:val="0"/>
          <w:i w:val="0"/>
        </w:rPr>
        <w:br/>
      </w:r>
      <w:r>
        <w:rPr>
          <w:b w:val="0"/>
          <w:i w:val="0"/>
        </w:rPr>
        <w:t>- Cục Kiểm tra văn bản (Bộ Tư pháp);</w:t>
      </w:r>
      <w:r>
        <w:rPr>
          <w:b w:val="0"/>
          <w:i w:val="0"/>
        </w:rPr>
        <w:br/>
      </w:r>
      <w:r>
        <w:rPr>
          <w:b w:val="0"/>
          <w:i w:val="0"/>
        </w:rPr>
        <w:t>- Website Chính phủ;</w:t>
      </w:r>
      <w:r>
        <w:rPr>
          <w:b w:val="0"/>
          <w:i w:val="0"/>
        </w:rPr>
        <w:br/>
      </w:r>
      <w:r>
        <w:rPr>
          <w:b w:val="0"/>
          <w:i w:val="0"/>
        </w:rPr>
        <w:t>- Website Bộ Tài chính;</w:t>
      </w:r>
      <w:r>
        <w:rPr>
          <w:b w:val="0"/>
          <w:i w:val="0"/>
        </w:rPr>
        <w:br/>
      </w:r>
      <w:r>
        <w:rPr>
          <w:b w:val="0"/>
          <w:i w:val="0"/>
        </w:rPr>
        <w:t>- Website Tổng cục Thuế;</w:t>
      </w:r>
      <w:r>
        <w:rPr>
          <w:b w:val="0"/>
          <w:i w:val="0"/>
        </w:rPr>
        <w:br/>
      </w:r>
      <w:r>
        <w:rPr>
          <w:b w:val="0"/>
          <w:i w:val="0"/>
        </w:rPr>
        <w:t>- Các đơn vị thuộc Bộ Tài chính;</w:t>
      </w:r>
      <w:r>
        <w:rPr>
          <w:b w:val="0"/>
          <w:i w:val="0"/>
        </w:rPr>
        <w:br/>
      </w:r>
      <w:r>
        <w:rPr>
          <w:b w:val="0"/>
          <w:i w:val="0"/>
        </w:rPr>
        <w:t>- Lưu: VT, TCT (VT, CS).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CHÁNH VĂN PHÒNG</w:t>
      </w:r>
      <w:r>
        <w:rPr>
          <w:b w:val="0"/>
          <w:i w:val="0"/>
        </w:rPr>
        <w:br/>
      </w:r>
      <w:r>
        <w:rPr>
          <w:b/>
          <w:i/>
        </w:rPr>
        <w:t>(Đã ký)</w:t>
      </w:r>
      <w:r>
        <w:rPr>
          <w:b w:val="0"/>
          <w:i w:val="0"/>
        </w:rPr>
        <w:br/>
      </w:r>
      <w:r>
        <w:rPr>
          <w:b/>
          <w:i w:val="0"/>
        </w:rPr>
        <w:t>Nguyễn Đức Chi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TÀI CHÍNH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-------------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Số: 2905/QĐ-BTC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-------------------------------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Hà Nội, ngày 09 tháng 11 năm 2010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Nơi nhận: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TUQ. BỘ TRƯỞNG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