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292/2003/QĐ-TTg Về việc phê duyệt Phương án tổng thể sắp xếp, đổi mới doanh nghiệp nhà nước tỉnh Thanh Hóa giai đoạn 2003 - 2005</w:t>
      </w:r>
    </w:p>
    <w:p>
      <w:r>
        <w:rPr>
          <w:b w:val="0"/>
          <w:i w:val="0"/>
        </w:rPr>
        <w:br/>
      </w:r>
      <w:r>
        <w:rPr>
          <w:b w:val="0"/>
          <w:i w:val="0"/>
        </w:rPr>
        <w:br/>
      </w:r>
      <w:r>
        <w:rPr>
          <w:b w:val="0"/>
          <w:i w:val="0"/>
        </w:rPr>
        <w:br/>
      </w:r>
      <w:r>
        <w:rPr>
          <w:b/>
          <w:i w:val="0"/>
        </w:rPr>
        <w:br/>
      </w:r>
      <w:r>
        <w:rPr>
          <w:b/>
          <w:i w:val="0"/>
        </w:rPr>
        <w:br/>
      </w:r>
      <w:r>
        <w:rPr>
          <w:b/>
          <w:i w:val="0"/>
        </w:rPr>
        <w:t xml:space="preserve">THỦ TƯỚNG CHÍNH </w:t>
      </w:r>
      <w:r>
        <w:br/>
      </w:r>
      <w:r>
        <w:rPr>
          <w:b/>
          <w:i w:val="0"/>
        </w:rPr>
        <w:br/>
        <w:t xml:space="preserve">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292/2003/QĐ-TTG</w:t>
      </w:r>
      <w:r>
        <w:rPr>
          <w:b w:val="0"/>
          <w:i w:val="0"/>
        </w:rPr>
        <w:br/>
      </w:r>
      <w:r>
        <w:rPr>
          <w:b w:val="0"/>
          <w:i w:val="0"/>
        </w:rPr>
        <w:br/>
      </w:r>
      <w:r>
        <w:rPr>
          <w:b w:val="0"/>
          <w:i/>
        </w:rPr>
        <w:br/>
      </w:r>
      <w:r>
        <w:rPr>
          <w:b w:val="0"/>
          <w:i/>
        </w:rPr>
        <w:t>Hà Nội, ngày 18 tháng 03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THỦ TƯỚNG CHÍNH </w:t>
      </w:r>
      <w:r>
        <w:br/>
      </w:r>
      <w:r>
        <w:rPr>
          <w:b/>
          <w:i w:val="0"/>
        </w:rPr>
        <w:br/>
        <w:t xml:space="preserve">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292/2003/QĐ-TTG</w:t>
      </w:r>
      <w:r>
        <w:rPr>
          <w:b w:val="0"/>
          <w:i w:val="0"/>
        </w:rPr>
        <w:br/>
      </w:r>
      <w:r>
        <w:rPr>
          <w:b w:val="0"/>
          <w:i w:val="0"/>
        </w:rPr>
        <w:br/>
      </w:r>
      <w:r>
        <w:rPr>
          <w:b w:val="0"/>
          <w:i/>
        </w:rPr>
        <w:br/>
      </w:r>
      <w:r>
        <w:rPr>
          <w:b w:val="0"/>
          <w:i/>
        </w:rPr>
        <w:t>Hà Nội, ngày 18 tháng 03 năm 2003</w:t>
      </w:r>
      <w:r>
        <w:rPr>
          <w:b w:val="0"/>
          <w:i/>
        </w:rPr>
        <w:br/>
      </w:r>
      <w:r>
        <w:rPr>
          <w:b w:val="0"/>
          <w:i w:val="0"/>
        </w:rPr>
        <w:br/>
      </w:r>
      <w:r>
        <w:rPr>
          <w:b w:val="0"/>
          <w:i w:val="0"/>
        </w:rPr>
        <w:br/>
      </w:r>
    </w:p>
    <w:p>
      <w:r>
        <w:rPr>
          <w:b w:val="0"/>
          <w:i w:val="0"/>
        </w:rPr>
        <w:br/>
      </w:r>
      <w:r>
        <w:rPr>
          <w:b/>
          <w:i w:val="0"/>
        </w:rPr>
        <w:br/>
      </w:r>
      <w:r>
        <w:rPr>
          <w:b/>
          <w:i w:val="0"/>
        </w:rPr>
        <w:br/>
      </w:r>
      <w:r>
        <w:rPr>
          <w:b/>
          <w:i w:val="0"/>
        </w:rPr>
        <w:t xml:space="preserve">THỦ TƯỚNG CHÍNH </w:t>
      </w:r>
      <w:r>
        <w:br/>
      </w:r>
      <w:r>
        <w:rPr>
          <w:b/>
          <w:i w:val="0"/>
        </w:rPr>
        <w:br/>
        <w:t xml:space="preserve">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THỦ TƯỚNG CHÍNH </w:t>
      </w:r>
      <w:r>
        <w:br/>
      </w:r>
      <w:r>
        <w:rPr>
          <w:b w:val="0"/>
          <w:i w:val="0"/>
        </w:rPr>
        <w:br/>
        <w:t xml:space="preserve">         PHỦ</w:t>
      </w:r>
      <w:r>
        <w:rPr>
          <w:b w:val="0"/>
          <w:i w:val="0"/>
        </w:rPr>
        <w:br/>
      </w:r>
      <w:r>
        <w:rPr>
          <w:b w:val="0"/>
          <w:i w:val="0"/>
        </w:rPr>
        <w:br/>
      </w:r>
      <w:r>
        <w:rPr>
          <w:b w:val="0"/>
          <w:i w:val="0"/>
        </w:rPr>
        <w:br/>
      </w:r>
    </w:p>
    <w:p>
      <w:r>
        <w:rPr>
          <w:b w:val="0"/>
          <w:i w:val="0"/>
        </w:rPr>
        <w:br/>
      </w:r>
      <w:r>
        <w:rPr>
          <w:b w:val="0"/>
          <w:i w:val="0"/>
        </w:rPr>
        <w:t xml:space="preserve">THỦ TƯỚNG CHÍNH </w:t>
      </w:r>
      <w:r>
        <w:br/>
      </w:r>
      <w:r>
        <w:rPr>
          <w:b w:val="0"/>
          <w:i w:val="0"/>
        </w:rPr>
        <w:br/>
        <w:t xml:space="preserve">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292/2003/QĐ-TTG</w:t>
      </w:r>
      <w:r>
        <w:rPr>
          <w:b w:val="0"/>
          <w:i w:val="0"/>
        </w:rPr>
        <w:br/>
      </w:r>
      <w:r>
        <w:rPr>
          <w:b w:val="0"/>
          <w:i w:val="0"/>
        </w:rPr>
        <w:br/>
      </w:r>
      <w:r>
        <w:rPr>
          <w:b w:val="0"/>
          <w:i/>
        </w:rPr>
        <w:br/>
      </w:r>
      <w:r>
        <w:rPr>
          <w:b w:val="0"/>
          <w:i/>
        </w:rPr>
        <w:t>Hà Nội, ngày 18 tháng 03 năm 2003</w:t>
      </w:r>
      <w:r>
        <w:rPr>
          <w:b w:val="0"/>
          <w:i/>
        </w:rPr>
        <w:br/>
      </w:r>
      <w:r>
        <w:rPr>
          <w:b w:val="0"/>
          <w:i w:val="0"/>
        </w:rPr>
        <w:br/>
      </w:r>
    </w:p>
    <w:p>
      <w:pPr>
        <w:jc w:val="center"/>
      </w:pPr>
      <w:r>
        <w:rPr>
          <w:b w:val="0"/>
          <w:i w:val="0"/>
        </w:rPr>
        <w:br/>
      </w:r>
      <w:r>
        <w:rPr>
          <w:b w:val="0"/>
          <w:i w:val="0"/>
        </w:rPr>
        <w:t>Số: 292/2003/QĐ-TTG</w:t>
      </w:r>
      <w:r>
        <w:rPr>
          <w:b w:val="0"/>
          <w:i w:val="0"/>
        </w:rPr>
        <w:br/>
      </w:r>
    </w:p>
    <w:p>
      <w:pPr>
        <w:jc w:val="center"/>
      </w:pPr>
      <w:r>
        <w:rPr>
          <w:b w:val="0"/>
          <w:i w:val="0"/>
        </w:rPr>
        <w:br/>
      </w:r>
      <w:r>
        <w:rPr>
          <w:b w:val="0"/>
          <w:i w:val="0"/>
        </w:rPr>
        <w:t>Hà Nội, ngày 18 tháng 03 năm 2003</w:t>
      </w:r>
      <w:r>
        <w:rPr>
          <w:b w:val="0"/>
          <w:i w:val="0"/>
        </w:rPr>
        <w:br/>
      </w:r>
    </w:p>
    <w:p>
      <w:r>
        <w:rPr>
          <w:b w:val="0"/>
          <w:i w:val="0"/>
        </w:rPr>
        <w:br/>
      </w:r>
      <w:r>
        <w:rPr>
          <w:b/>
          <w:i w:val="0"/>
        </w:rPr>
        <w:t>QUYẾT ĐỊNH</w:t>
      </w:r>
      <w:r>
        <w:br/>
      </w:r>
      <w:r>
        <w:rPr>
          <w:b/>
          <w:i w:val="0"/>
        </w:rPr>
        <w:t xml:space="preserve">Về việc phê duyệt Phương án tổng thể sắp xếp, đổi mới doanh nghiệp nhà </w:t>
      </w:r>
      <w:r>
        <w:br/>
      </w:r>
      <w:r>
        <w:rPr>
          <w:b/>
          <w:i w:val="0"/>
        </w:rPr>
        <w:br/>
        <w:t xml:space="preserve">       nước tỉnh Thanh Hóa giai đoạn 2003 đến 2005 </w:t>
      </w:r>
      <w:r>
        <w:rPr>
          <w:b w:val="0"/>
          <w:i w:val="0"/>
        </w:rPr>
        <w:br/>
      </w:r>
      <w:r>
        <w:rPr>
          <w:b/>
          <w:i w:val="0"/>
        </w:rPr>
        <w:t>THỦ TƯỚNG CHÍNH PHỦ</w:t>
      </w:r>
      <w:r>
        <w:rPr>
          <w:b w:val="0"/>
          <w:i w:val="0"/>
        </w:rPr>
        <w:br/>
      </w:r>
      <w:r>
        <w:rPr>
          <w:b w:val="0"/>
          <w:i/>
        </w:rPr>
        <w:t xml:space="preserve">        Căn cứ Luật Tổ chức Chính phủ ngày 25 tháng 12 năm 2001;</w:t>
      </w:r>
      <w:r>
        <w:rPr>
          <w:b w:val="0"/>
          <w:i w:val="0"/>
        </w:rPr>
        <w:br/>
      </w:r>
      <w:r>
        <w:rPr>
          <w:b w:val="0"/>
          <w:i/>
        </w:rPr>
        <w:t xml:space="preserve">        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 xml:space="preserve">        Căn cứ Chỉ thị số 01/2003/CT-TTg ngày 16 tháng 01 năm 2003 của Thủ tướng Chính phủ về tiếp tục đẩy mạnh sắp xếp, đổi mới, phát triển và nâng cao hiệu quả doanh nghiệp nhà nước;</w:t>
      </w:r>
      <w:r>
        <w:rPr>
          <w:b w:val="0"/>
          <w:i w:val="0"/>
        </w:rPr>
        <w:br/>
      </w:r>
      <w:r>
        <w:rPr>
          <w:b w:val="0"/>
          <w:i/>
        </w:rPr>
        <w:t xml:space="preserve">       Xét đề nghị của ủy ban nhân dân tỉnh Thanh Hóa (các công văn : số 3575/UB-ĐMDN ngày 23 tháng 10 năm 2002, số 2006/UB-ĐMDN ngày 24 tháng 6 năm 2002, số 1519/UB-ĐMDN ngày 20 tháng 5 năm 2002, số 605/UB-ĐMDN ngày 03 tháng 3 năm 2003), ý kiến của Tỉnh ủy Thanh Hoá (công văn số 290-CV/TU ngày 22 tháng 10 năm 2002), ý kiến của các Bộ : Kế hoạch và Đầu tư (công văn số 7518 BKH/DN ngày 27 tháng 11 năm 2002), Tài chính (công văn số 13064 TC/TCDN ngày 29 tháng 11 năm 2002), Lao động - Thương binh và Xã hội (công văn số 3947 /LĐTBXH-CSLĐVL ngày 13 tháng 11 năm 2002), Nội vụ (các công văn : số 881/BNV-TCBC ngày 02 tháng 12 năm 2002, số 973/BNV-TCBC ngày 11 tháng 12 năm 2002) và đặc điểm kinh tế - xã hội của tỉnh Thanh Hóa.</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tỉnh Thanh Hóa giai đoạn 2003 đến 2005 như phụ lục kèm theo.</w:t>
      </w:r>
      <w:r>
        <w:rPr>
          <w:b w:val="0"/>
          <w:i w:val="0"/>
        </w:rPr>
        <w:br/>
      </w:r>
      <w:r>
        <w:rPr>
          <w:b/>
          <w:i w:val="0"/>
        </w:rPr>
        <w:t>Điều 2</w:t>
      </w:r>
      <w:r>
        <w:rPr>
          <w:b w:val="0"/>
          <w:i w:val="0"/>
        </w:rPr>
        <w:br/>
      </w:r>
      <w:r>
        <w:rPr>
          <w:b w:val="0"/>
          <w:i w:val="0"/>
        </w:rPr>
        <w:t>a) Chủ tịch ủy ban nhân dân tỉnh Thanh Hóa có trách nhiệm chỉ đạo thực hiện việc sắp xếp, đổi mới doanh nghiệp nhà nước trực thuộc theo đúng nội dung và tiến độ đã được duyệt. Trường hợp điều chỉnh, bổ sung phải được sự chấp thuận của</w:t>
      </w:r>
      <w:r>
        <w:rPr>
          <w:b w:val="0"/>
          <w:i w:val="0"/>
        </w:rPr>
        <w:br/>
      </w:r>
      <w:r>
        <w:rPr>
          <w:b w:val="0"/>
          <w:i w:val="0"/>
        </w:rPr>
        <w:t>b) Tại thời điểm hiện nay, chưa thực hiện thí điểm mô hình Công ty mẹ - Công ty con tại Công ty Đầu tư và Xây dựng Thanh Hoá, Nhà nước tiếp tục nắm giữ 100% vốn điều lệ của Công ty. ủy ban nhân dân tỉnh Thanh Hoá có biện pháp đầu tư phát triển, mở rộng sản xuất kinh doanh, nâng cao hiệu quả hoạt động của doanh nghiệp; trên cơ sở đó, nghiên cứu hình thức sắp xếp, đổi mới phù hợp để Công ty đáp ứng được vai trò là doanh nghiệp nhà nước mạnh của tỉnh trong lĩnh vực xây lắp.</w:t>
      </w:r>
      <w:r>
        <w:rPr>
          <w:b w:val="0"/>
          <w:i w:val="0"/>
        </w:rPr>
        <w:br/>
      </w:r>
      <w:r>
        <w:rPr>
          <w:b/>
          <w:i w:val="0"/>
        </w:rPr>
        <w:t xml:space="preserve">Điều 3. </w:t>
      </w:r>
      <w:r>
        <w:rPr>
          <w:b w:val="0"/>
          <w:i w:val="0"/>
        </w:rPr>
        <w:t>Bộ Tài chính, Bộ Kế hoạch và Đầu tư, Bộ Nội vụ, Bộ Lao động - Thương binh và Xã hội và các cơ quan liên quan có trách nhiệm phối hợp với ủy ban nhân dân tỉnh Thanh Hóa trong việc thực hiện Phương án.</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ủy ban nhân dân tỉnh Thanh Hóa và Thủ trưởng các cơ quan liên quan chịu trách nhiệm thi hành Quyết định này ./.</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