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29/2005/QĐ-TTg Về việc chuyển Tổng công ty Giấy Việt Nam sang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29/2005/QĐ-TTg</w:t>
        <w:br/>
        <w:t xml:space="preserve">     </w:t>
      </w:r>
      <w:r>
        <w:rPr>
          <w:b w:val="0"/>
          <w:i w:val="0"/>
        </w:rPr>
        <w:br/>
      </w:r>
      <w:r>
        <w:rPr>
          <w:b w:val="0"/>
          <w:i/>
        </w:rPr>
        <w:br/>
        <w:t xml:space="preserve">      Hà Nội, ngày 01 tháng 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29/2005/QĐ-TTg</w:t>
        <w:br/>
        <w:t xml:space="preserve">     </w:t>
      </w:r>
      <w:r>
        <w:rPr>
          <w:b w:val="0"/>
          <w:i w:val="0"/>
        </w:rPr>
        <w:br/>
      </w:r>
      <w:r>
        <w:rPr>
          <w:b w:val="0"/>
          <w:i/>
        </w:rPr>
        <w:br/>
        <w:t xml:space="preserve">      Hà Nội, ngày 01 tháng 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29/2005/QĐ-TTg</w:t>
        <w:br/>
        <w:t xml:space="preserve">     </w:t>
      </w:r>
      <w:r>
        <w:rPr>
          <w:b w:val="0"/>
          <w:i w:val="0"/>
        </w:rPr>
        <w:br/>
      </w:r>
      <w:r>
        <w:rPr>
          <w:b w:val="0"/>
          <w:i/>
        </w:rPr>
        <w:br/>
        <w:t xml:space="preserve">      Hà Nội, ngày 01 tháng 2 năm 2005</w:t>
        <w:br/>
        <w:t xml:space="preserve">     </w:t>
      </w:r>
      <w:r>
        <w:rPr>
          <w:b w:val="0"/>
          <w:i w:val="0"/>
        </w:rPr>
        <w:br/>
      </w:r>
    </w:p>
    <w:p>
      <w:pPr>
        <w:jc w:val="center"/>
      </w:pPr>
      <w:r>
        <w:rPr>
          <w:b w:val="0"/>
          <w:i w:val="0"/>
        </w:rPr>
        <w:br/>
        <w:t xml:space="preserve">      Số: 29/2005/QĐ-TTg</w:t>
        <w:br/>
        <w:t xml:space="preserve">     </w:t>
      </w:r>
    </w:p>
    <w:p>
      <w:pPr>
        <w:jc w:val="center"/>
      </w:pPr>
      <w:r>
        <w:rPr>
          <w:b w:val="0"/>
          <w:i w:val="0"/>
        </w:rPr>
        <w:br/>
        <w:t xml:space="preserve">      Hà Nội, ngày 01 tháng 2 năm 2005</w:t>
        <w:br/>
        <w:t xml:space="preserve">     </w:t>
      </w:r>
    </w:p>
    <w:p>
      <w:r>
        <w:rPr>
          <w:b/>
          <w:i w:val="0"/>
        </w:rPr>
        <w:t>QUYẾT ĐỊNH CỦA THỦ TƯỚNG CHÍNH PHỦ</w:t>
      </w:r>
    </w:p>
    <w:p>
      <w:r>
        <w:rPr>
          <w:b/>
          <w:i w:val="0"/>
        </w:rPr>
        <w:t>Về việc chuyển Tổng công ty Giấy Việt Nam</w:t>
      </w:r>
    </w:p>
    <w:p>
      <w:r>
        <w:rPr>
          <w:b/>
          <w:i w:val="0"/>
        </w:rPr>
        <w:t>sang hoạt động theo mô hình Công ty mẹ - Công ty con</w:t>
      </w:r>
    </w:p>
    <w:p>
      <w:r>
        <w:rPr>
          <w:b/>
          <w:i w:val="0"/>
        </w:rPr>
        <w:t>THỦ TƯỚNG CHÍNH PHỦ</w:t>
      </w:r>
    </w:p>
    <w:p>
      <w:r>
        <w:rPr>
          <w:b w:val="0"/>
          <w:i/>
        </w:rPr>
        <w:t>Căn cứ Luật Tổ chức Chính phủ ngày 25 tháng 12 năm 2001,</w:t>
      </w:r>
    </w:p>
    <w:p>
      <w:r>
        <w:rPr>
          <w:b w:val="0"/>
          <w:i/>
        </w:rPr>
        <w:t>Căn cứ Luật Doanh nghiệp số 14/1999/QH10 ngày 12 tháng 06 năm 1999;</w:t>
      </w:r>
    </w:p>
    <w:p>
      <w:r>
        <w:rPr>
          <w:b w:val="0"/>
          <w:i/>
        </w:rPr>
        <w:t>Căn cứ Luật Doanh nghiệp nhà nước số 14/2003/QH11 ngày 26 tháng 11 năm 2003;</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trưởng Bộ Công nghiệp, Hội đồng quản trị Tổng công ty Giấy Việt Nam,</w:t>
      </w:r>
    </w:p>
    <w:p>
      <w:r>
        <w:rPr>
          <w:b/>
          <w:i w:val="0"/>
        </w:rPr>
        <w:t>QUYẾT ĐỊNH:</w:t>
      </w:r>
    </w:p>
    <w:p>
      <w:r>
        <w:rPr>
          <w:b/>
          <w:i w:val="0"/>
        </w:rPr>
        <w:t xml:space="preserve">Điều 1. </w:t>
      </w:r>
      <w:r>
        <w:rPr>
          <w:b w:val="0"/>
          <w:i w:val="0"/>
        </w:rPr>
        <w:t>Phê duyệt Đề án chuyển Tổng công ty Giấy Việt Nam sang hoạt động theo mô hình Công ty mẹ - Công ty con với nội dung sau:</w:t>
      </w:r>
    </w:p>
    <w:p>
      <w:r>
        <w:rPr>
          <w:b w:val="0"/>
          <w:i w:val="0"/>
        </w:rPr>
        <w:t>1.</w:t>
      </w:r>
      <w:r>
        <w:rPr>
          <w:b/>
          <w:i w:val="0"/>
        </w:rPr>
        <w:t xml:space="preserve"> </w:t>
      </w:r>
      <w:r>
        <w:rPr>
          <w:b w:val="0"/>
          <w:i w:val="0"/>
        </w:rPr>
        <w:t>Công ty mẹ - Tổng công ty Giấy Việt Nam (VINAPACO) là công ty nhà nước, được hình thành trên cơ sở tổ chức lại Văn phòng Tổng công ty Giấy Việt Nam và Công ty Giấy Bãi Bằng.</w:t>
      </w:r>
    </w:p>
    <w:p>
      <w:r>
        <w:rPr>
          <w:b w:val="0"/>
          <w:i w:val="0"/>
        </w:rPr>
        <w:t>2. Các công ty con, bao gồm:</w:t>
      </w:r>
    </w:p>
    <w:p>
      <w:r>
        <w:rPr>
          <w:b w:val="0"/>
          <w:i w:val="0"/>
        </w:rPr>
        <w:t>a) Công ty trách nhiệm hữu hạn một thành viên:</w:t>
      </w:r>
    </w:p>
    <w:p>
      <w:r>
        <w:rPr>
          <w:b w:val="0"/>
          <w:i w:val="0"/>
        </w:rPr>
        <w:t>- Công ty trách nhiệm hữu hạn nhà nước một thành viên Nguyên liệu và Bột giấy Thanh Hóa;</w:t>
      </w:r>
    </w:p>
    <w:p>
      <w:r>
        <w:rPr>
          <w:b w:val="0"/>
          <w:i w:val="0"/>
        </w:rPr>
        <w:t>- Công ty trách nhiệm hữu hạn nhà nước một thành viên Nguyên liệu giấy miền Nam.</w:t>
      </w:r>
    </w:p>
    <w:p>
      <w:r>
        <w:rPr>
          <w:b w:val="0"/>
          <w:i w:val="0"/>
        </w:rPr>
        <w:t>b) Công ty cổ phần mà Công ty mẹ giữ cổ phấn chi phối</w:t>
      </w:r>
    </w:p>
    <w:p>
      <w:r>
        <w:rPr>
          <w:b w:val="0"/>
          <w:i w:val="0"/>
        </w:rPr>
        <w:t>- Công ty cổ phần Giấy Tân Mai;</w:t>
      </w:r>
    </w:p>
    <w:p>
      <w:r>
        <w:rPr>
          <w:b w:val="0"/>
          <w:i w:val="0"/>
        </w:rPr>
        <w:t xml:space="preserve"> - Công ty cổ phần Giấy Đồng Nai;</w:t>
      </w:r>
    </w:p>
    <w:p>
      <w:r>
        <w:rPr>
          <w:b w:val="0"/>
          <w:i w:val="0"/>
        </w:rPr>
        <w:t>- Công ty cổ phần Giấy Bình An;</w:t>
      </w:r>
    </w:p>
    <w:p>
      <w:r>
        <w:rPr>
          <w:b w:val="0"/>
          <w:i w:val="0"/>
        </w:rPr>
        <w:t>- Công ty cổ phần Giấy Việt Trì;</w:t>
      </w:r>
    </w:p>
    <w:p>
      <w:r>
        <w:rPr>
          <w:b w:val="0"/>
          <w:i w:val="0"/>
        </w:rPr>
        <w:t xml:space="preserve">- Công ty cổ phần Văn phòng phẩm Hồng Hà; </w:t>
      </w:r>
    </w:p>
    <w:p>
      <w:r>
        <w:rPr>
          <w:b w:val="0"/>
          <w:i w:val="0"/>
        </w:rPr>
        <w:t>- Công ty cổ phần Giấy Hoàng Văn Thụ.</w:t>
      </w:r>
    </w:p>
    <w:p>
      <w:r>
        <w:rPr>
          <w:b w:val="0"/>
          <w:i w:val="0"/>
        </w:rPr>
        <w:t>3. Công ty liên kết:</w:t>
      </w:r>
    </w:p>
    <w:p>
      <w:r>
        <w:rPr>
          <w:b w:val="0"/>
          <w:i w:val="0"/>
        </w:rPr>
        <w:t>- Công ty cổ phần Nhất Nam;</w:t>
      </w:r>
    </w:p>
    <w:p>
      <w:r>
        <w:rPr>
          <w:b w:val="0"/>
          <w:i w:val="0"/>
        </w:rPr>
        <w:t>- Công ty cổ phần in Phúc Yên;</w:t>
      </w:r>
    </w:p>
    <w:p>
      <w:r>
        <w:rPr>
          <w:b w:val="0"/>
          <w:i w:val="0"/>
        </w:rPr>
        <w:t>- Công ty cổ phần May Diêm Sài Gòn;</w:t>
      </w:r>
    </w:p>
    <w:p>
      <w:r>
        <w:rPr>
          <w:b w:val="0"/>
          <w:i w:val="0"/>
        </w:rPr>
        <w:t>- Công ty cổ phần Diêm Thống Nhất;</w:t>
      </w:r>
    </w:p>
    <w:p>
      <w:r>
        <w:rPr>
          <w:b w:val="0"/>
          <w:i w:val="0"/>
        </w:rPr>
        <w:t>- Công ty cổ phần Giấy Vạn Điểm.</w:t>
      </w:r>
    </w:p>
    <w:p>
      <w:r>
        <w:rPr>
          <w:b w:val="0"/>
          <w:i w:val="0"/>
        </w:rPr>
        <w:t>4</w:t>
      </w:r>
      <w:r>
        <w:rPr>
          <w:b/>
          <w:i w:val="0"/>
        </w:rPr>
        <w:t>.</w:t>
      </w:r>
      <w:r>
        <w:rPr>
          <w:b w:val="0"/>
          <w:i w:val="0"/>
        </w:rPr>
        <w:t xml:space="preserve"> Tổng công ty Giấy Việt Nam hoạt động theo mô hình Công ty mẹ - Công ty con thực hiện hạch toán kinh doanh và đầu tư vốn vào các công ty con, công ty liên kết theo Điều lệ tổ chức, hoạt động và Quy chế tài chính của Công ty mẹ do cơ quan nhà nước có thẩm quyền phê duyệt.</w:t>
      </w:r>
    </w:p>
    <w:p>
      <w:r>
        <w:rPr>
          <w:b w:val="0"/>
          <w:i w:val="0"/>
        </w:rPr>
        <w:t>Tổ chức quản lý của Công ty mẹ gồm: Hội đồng quản trị, Tổng giám đốc, các Phó Tổng giám đốc, Kế toán trưởng và bộ máy giúp việc.</w:t>
      </w:r>
    </w:p>
    <w:p>
      <w:r>
        <w:rPr>
          <w:b/>
          <w:i w:val="0"/>
        </w:rPr>
        <w:t xml:space="preserve">Điều 2. </w:t>
      </w:r>
      <w:r>
        <w:rPr>
          <w:b w:val="0"/>
          <w:i w:val="0"/>
        </w:rPr>
        <w:t>Phân công nhiệm vụ:</w:t>
      </w:r>
    </w:p>
    <w:p>
      <w:r>
        <w:rPr>
          <w:b w:val="0"/>
          <w:i w:val="0"/>
        </w:rPr>
        <w:t>1. Bộ trưởng Bộ Công nghiệp chỉ đạo triển khai thực hiện Đề án; quyết định thành lập công ty mẹ; các công ty con nói tại Điều 1 Quyết định này theo quy định hiện hành.</w:t>
      </w:r>
    </w:p>
    <w:p>
      <w:r>
        <w:rPr>
          <w:b w:val="0"/>
          <w:i w:val="0"/>
        </w:rPr>
        <w:t>2. Bộ trưởng Bộ Tài chính: phê duyệt Quy chế tài chính của Công ty mẹ.</w:t>
      </w:r>
    </w:p>
    <w:p>
      <w:r>
        <w:rPr>
          <w:b w:val="0"/>
          <w:i w:val="0"/>
        </w:rPr>
        <w:t xml:space="preserve">3. Hội đồng quản trị Tổng công ty Giấy Việt Nam trình </w:t>
      </w:r>
      <w:r>
        <w:rPr>
          <w:b w:val="0"/>
          <w:i w:val="0"/>
        </w:rPr>
        <w:t>Thủ tướng Chính phủ phê duyệt Điều lệ tổ chức và hoạt động của Công ty mẹ.</w:t>
      </w:r>
    </w:p>
    <w:p>
      <w:r>
        <w:rPr>
          <w:b/>
          <w:i w:val="0"/>
        </w:rPr>
        <w:t xml:space="preserve">Điều 3. </w:t>
      </w:r>
      <w:r>
        <w:rPr>
          <w:b w:val="0"/>
          <w:i w:val="0"/>
        </w:rPr>
        <w:t>Quyết định này có hiệu lực sau 15 ngày, kể từ ngày đăng Công báo.</w:t>
      </w:r>
    </w:p>
    <w:p>
      <w:r>
        <w:rPr>
          <w:b w:val="0"/>
          <w:i w:val="0"/>
        </w:rPr>
        <w:t>Bộ trưởng các Bộ: Công nghiệp, Tài chính, Kế hoạch và Đầu tư, Nội vụ, Lao động - Thương binh và Xã hội, Thống đốc Ngân hàng Nhà nước Việt Nam, Tổng công ty Giấy Việt Nam và các cơ quan có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