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29/2009/TT-BNNPTNT Bổ sung, sửa đổi thông tư số 15/2009/TT-BNN ngày 17/3/2009 của Bộ trưởng Bộ Nông nghiệp và PTNT ban hành Danh mục thuốc, hóa chất, kháng sinh cấm sử dụng, hạn chế sử dụng</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29/2009/TT-BNNPTNT</w:t>
        <w:br/>
        <w:t xml:space="preserve">     </w:t>
      </w:r>
      <w:r>
        <w:rPr>
          <w:b w:val="0"/>
          <w:i w:val="0"/>
        </w:rPr>
        <w:br/>
      </w:r>
      <w:r>
        <w:rPr>
          <w:b w:val="0"/>
          <w:i/>
        </w:rPr>
        <w:br/>
        <w:t xml:space="preserve">      Hà Nội, ngày 04 tháng 06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29/2009/TT-BNNPTNT</w:t>
        <w:br/>
        <w:t xml:space="preserve">     </w:t>
      </w:r>
      <w:r>
        <w:rPr>
          <w:b w:val="0"/>
          <w:i w:val="0"/>
        </w:rPr>
        <w:br/>
      </w:r>
      <w:r>
        <w:rPr>
          <w:b w:val="0"/>
          <w:i/>
        </w:rPr>
        <w:br/>
        <w:t xml:space="preserve">      Hà Nội, ngày 04 tháng 06 năm 2009</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29/2009/TT-BNNPTNT</w:t>
        <w:br/>
        <w:t xml:space="preserve">     </w:t>
      </w:r>
      <w:r>
        <w:rPr>
          <w:b w:val="0"/>
          <w:i w:val="0"/>
        </w:rPr>
        <w:br/>
      </w:r>
      <w:r>
        <w:rPr>
          <w:b w:val="0"/>
          <w:i/>
        </w:rPr>
        <w:br/>
        <w:t xml:space="preserve">      Hà Nội, ngày 04 tháng 06 năm 2009</w:t>
        <w:br/>
        <w:t xml:space="preserve">     </w:t>
      </w:r>
      <w:r>
        <w:rPr>
          <w:b w:val="0"/>
          <w:i w:val="0"/>
        </w:rPr>
        <w:br/>
      </w:r>
    </w:p>
    <w:p>
      <w:pPr>
        <w:jc w:val="center"/>
      </w:pPr>
      <w:r>
        <w:rPr>
          <w:b w:val="0"/>
          <w:i w:val="0"/>
        </w:rPr>
        <w:br/>
        <w:t xml:space="preserve">      Số: 29/2009/TT-BNNPTNT</w:t>
        <w:br/>
        <w:t xml:space="preserve">     </w:t>
      </w:r>
    </w:p>
    <w:p>
      <w:pPr>
        <w:jc w:val="center"/>
      </w:pPr>
      <w:r>
        <w:rPr>
          <w:b w:val="0"/>
          <w:i w:val="0"/>
        </w:rPr>
        <w:br/>
        <w:t xml:space="preserve">      Hà Nội, ngày 04 tháng 06 năm 2009</w:t>
        <w:br/>
        <w:t xml:space="preserve">     </w:t>
      </w:r>
    </w:p>
    <w:p>
      <w:r>
        <w:rPr>
          <w:b/>
          <w:i w:val="0"/>
        </w:rPr>
        <w:t>THÔNG TƯ</w:t>
      </w:r>
    </w:p>
    <w:p>
      <w:r>
        <w:rPr>
          <w:b/>
          <w:i w:val="0"/>
        </w:rPr>
        <w:t>Bổ sung, sửa đổi Thông tư số 15/2009TT-BNN ngày 17/3/2009 của Bộ trưởng</w:t>
      </w:r>
    </w:p>
    <w:p>
      <w:r>
        <w:rPr>
          <w:b/>
          <w:i w:val="0"/>
        </w:rPr>
        <w:t xml:space="preserve"> Bộ Nông nghiệp và PTNT ban hành Danh mục thuốc, hóa chất,</w:t>
      </w:r>
    </w:p>
    <w:p>
      <w:r>
        <w:rPr>
          <w:b/>
          <w:i w:val="0"/>
        </w:rPr>
        <w:t xml:space="preserve"> kháng sinh cấm sử dụng, hạn chế sử dụng</w:t>
      </w:r>
    </w:p>
    <w:p>
      <w:r>
        <w:rPr>
          <w:b/>
          <w:i w:val="0"/>
        </w:rPr>
        <w:t xml:space="preserve"> _______________________</w:t>
      </w:r>
    </w:p>
    <w:p>
      <w:r>
        <w:rPr>
          <w:b w:val="0"/>
          <w:i w:val="0"/>
        </w:rPr>
        <w:t>Căn cứ Nghị định số 01/2008/NĐ-CP ngày 03 tháng 01 năm 2008 của Chính phủ quy định chức năng, nhiệm vụ, quyền hạn và cơ cấu tổ chức của Bộ Nông nghiệp và Phát triển nông thôn;</w:t>
      </w:r>
    </w:p>
    <w:p>
      <w:r>
        <w:rPr>
          <w:b w:val="0"/>
          <w:i w:val="0"/>
        </w:rPr>
        <w:t>Căn cứ Pháp lệnh Thú y 2004;</w:t>
      </w:r>
    </w:p>
    <w:p>
      <w:r>
        <w:rPr>
          <w:b w:val="0"/>
          <w:i w:val="0"/>
        </w:rPr>
        <w:t>Căn cứ Nghị định số 33/2005/NĐ-CP ngày 15/3/2005 của Chính phủ quy định chi tiết thi hành một số Điều của Pháp lệnh Thú y;</w:t>
      </w:r>
    </w:p>
    <w:p>
      <w:r>
        <w:rPr>
          <w:b w:val="0"/>
          <w:i w:val="0"/>
        </w:rPr>
        <w:t>Bộ trưởng Bộ Nông nghiệp và Phát triển nông thôn sửa đổi, bổ sung Thông tư số: 15/2009/TT-BNN, ngày 17/3/2009 của Bộ trưởng Bộ Nông nghiệp và PTNT ban hành Danh mục thuốc, hóa chất, kháng sinh cấm sử dụng, hạn chế sử dụng như sau:</w:t>
      </w:r>
    </w:p>
    <w:p>
      <w:pPr>
        <w:jc w:val="both"/>
      </w:pPr>
      <w:r>
        <w:rPr>
          <w:b/>
          <w:i w:val="0"/>
        </w:rPr>
        <w:t xml:space="preserve">Điều 1. </w:t>
      </w:r>
      <w:r>
        <w:rPr>
          <w:b w:val="0"/>
          <w:i w:val="0"/>
        </w:rPr>
        <w:t>Rút Tylosin phosphate ra khỏi Danh mục thuốc, hóa chất, kháng sinh cấm sử dụng trong thú y tại Phụ lục 2 ban hành kèm theo Thông tư số: 15/2009/TT-BNN, ngày 17/3/2009 của Bộ trưởng Bộ Nông nghiệp và PTNT ban hành Danh mục thuốc, hóa chất, kháng sinh cấm sử dụng, hạn chế sử dụng.</w:t>
      </w:r>
    </w:p>
    <w:p>
      <w:pPr>
        <w:jc w:val="both"/>
      </w:pPr>
      <w:r>
        <w:rPr>
          <w:b/>
          <w:i w:val="0"/>
        </w:rPr>
        <w:t xml:space="preserve">Điều 2. </w:t>
      </w:r>
      <w:r>
        <w:rPr>
          <w:b w:val="0"/>
          <w:i w:val="0"/>
        </w:rPr>
        <w:t>Bổ sung Tylosin phosphate và các sản phẩm có chứa hoạt chất Tylosin phosphate bao gồm Tylan 40 số đăng ký EC-01; Tylan 40 sufa G số đăng ký EC-02; Tylan 100 số đăng ký EC-19 của công ty Elanco Animal Health-Mỹ vào Danh mục thuốc, hóa chất, kháng sinh hạn chế sử dụng trong thú y tại Phụ lục 4 ban hành kèm theo Thông tư số 15/2009/TT-BNN, ngày 17/3/2009 của Bộ trưởng Bộ Nông nghiệp và PTNT ban hành Danh mục thuốc, hóa chất, kháng sinh cấm sử dụng, hạn chế sử dụng.</w:t>
      </w:r>
    </w:p>
    <w:p>
      <w:pPr>
        <w:jc w:val="both"/>
      </w:pPr>
      <w:r>
        <w:rPr>
          <w:b/>
          <w:i w:val="0"/>
        </w:rPr>
        <w:t xml:space="preserve">Điều 3. </w:t>
      </w:r>
      <w:r>
        <w:rPr>
          <w:b w:val="0"/>
          <w:i w:val="0"/>
        </w:rPr>
        <w:t>Gia hạn lưu hành các sản phẩm có chứa hoạt chất Gentian violet (Crystal violet) được bào chế dưới dạng xịt dùng cho động vật trên cạn đến 31/12/2009.</w:t>
      </w:r>
    </w:p>
    <w:p>
      <w:pPr>
        <w:jc w:val="both"/>
      </w:pPr>
      <w:r>
        <w:rPr>
          <w:b/>
          <w:i w:val="0"/>
        </w:rPr>
        <w:t xml:space="preserve">Điều 4. </w:t>
      </w:r>
      <w:r>
        <w:rPr>
          <w:b w:val="0"/>
          <w:i w:val="0"/>
        </w:rPr>
        <w:t>Thông tư này có hiệu lực kể từ ngày ký.</w:t>
      </w:r>
    </w:p>
    <w:p>
      <w:pPr>
        <w:jc w:val="both"/>
      </w:pPr>
      <w:r>
        <w:rPr>
          <w:b/>
          <w:i w:val="0"/>
        </w:rPr>
        <w:t xml:space="preserve">Điều 5. </w:t>
      </w:r>
      <w:r>
        <w:rPr>
          <w:b w:val="0"/>
          <w:i w:val="0"/>
        </w:rPr>
        <w:t>Chánh Văn phòng Bộ, Cục trưởng Cục Thú y, Thủ trưởng các đơn vị có liên quan, Giám đốc các Sở Nông nghiệp và Phát triển nông thôn, tổ chức, cá nhân trong nước, nước ngoài có hoạt động liên quan đến sản xuất, kinh doanh thuốc thú y bao gồm thuốc thú y thủy sản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Diệp Kỉnh Tần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Diệp Kỉnh Tần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Diệp Kỉnh Tần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Diệp Kỉnh Tần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