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29/TC-NT Hướng dẫn việc thanh toán tiền hàng và thặng số ngoại thương đối với hàng nhập khẩu thiết bị và kỹ thuật dầu khí</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việc thanh toán tiền hàng và thặng số ngoại thương đối với hàng nhập khẩu thiết bị và kỹ thuật dầu khí</w:t>
      </w:r>
    </w:p>
    <w:p>
      <w:r>
        <w:rPr>
          <w:b w:val="0"/>
          <w:i w:val="0"/>
        </w:rPr>
        <w:t>Trong khi chờ đợi thông tư liên bộ giữa Bộ Tài chính với các cơ quan hữu quan quy định đầy đủ hơn nữa những vấn đề về nguyên tắc, phương thức, thủ tục cấp phát và thanh toán đối ngoại và đối nội của công ty nhập khẩu thiết bị và kỹ thuật Dầu khí (gọi tắt là Petechim).</w:t>
      </w:r>
    </w:p>
    <w:p>
      <w:r>
        <w:rPr>
          <w:b w:val="0"/>
          <w:i w:val="0"/>
        </w:rPr>
        <w:t xml:space="preserve">Sau khi trao đổi và thống nhất ý kiến với Ngân hàng Nhà nước (Ngân hàng Ngoại thương), Bộ Ngoại thương, </w:t>
      </w:r>
    </w:p>
    <w:p>
      <w:r>
        <w:rPr>
          <w:b w:val="0"/>
          <w:i w:val="0"/>
        </w:rPr>
        <w:t>Bộ Tài chính tạm thời hướng dẫn việc thanh toán tiền hàng và thặng số ngoại thương của Petechim với các cơ quan hữu quan như sau:</w:t>
      </w:r>
    </w:p>
    <w:p>
      <w:r>
        <w:rPr>
          <w:b w:val="0"/>
          <w:i w:val="0"/>
        </w:rPr>
        <w:t>A - Thanh toán đối ngoại phần thặng số 4,5%</w:t>
      </w:r>
    </w:p>
    <w:p>
      <w:r>
        <w:rPr>
          <w:b w:val="0"/>
          <w:i w:val="0"/>
        </w:rPr>
        <w:t>Sau khi nhận được hoá đơn mua hàng nhập khẩu của nước ngoài do Ngân hàng Ngoại thương chuyển đến, Petechim lập hoá đơn thanh toán đối ngoại phần, thặng số Ngoại thương 4,5% tính trên trị giá CIF hàng nhập khẩu bằng Rúp chuyển nhượng (kể cả những hàng hoá phải mua của nước thứ ba bằng ngoại tệ tự do mà Bạn đã quy đổi ra Rúp chuyển nhượng), có sự xác nhận của xí nghiệp Liên doanh và đại diện Technoexport, gửi đến Chi nhánh Ngân hàng Ngoại thương Vũng tàu để hạch toán 50% của thặng số (tức là 2,25%) vào việc giảm vốn vay (phần Liên xô đã cho ta vay để góp vốn).</w:t>
      </w:r>
    </w:p>
    <w:p>
      <w:r>
        <w:rPr>
          <w:b w:val="0"/>
          <w:i w:val="0"/>
        </w:rPr>
        <w:t>Ví dụ:</w:t>
      </w:r>
    </w:p>
    <w:p>
      <w:r>
        <w:rPr>
          <w:b w:val="0"/>
          <w:i w:val="0"/>
        </w:rPr>
        <w:t>- Theo hoá đơn hàng nhập khẩu, trị giá CIF tiền hàng, tính bằng Rúp chuyển nhượng là: 100R chuyển nhượng.</w:t>
      </w:r>
    </w:p>
    <w:p>
      <w:r>
        <w:rPr>
          <w:b w:val="0"/>
          <w:i w:val="0"/>
        </w:rPr>
        <w:t>- Petechim lập hoá đơn thanh toán đối ngoại thặng số 4,5% như sau:</w:t>
      </w:r>
    </w:p>
    <w:p>
      <w:r>
        <w:rPr>
          <w:b w:val="0"/>
          <w:i w:val="0"/>
        </w:rPr>
        <w:t>- Trị giá CIF tiền hàng: 100R CN</w:t>
      </w:r>
    </w:p>
    <w:p>
      <w:r>
        <w:rPr>
          <w:b w:val="0"/>
          <w:i w:val="0"/>
        </w:rPr>
        <w:t>- Thặng số 4,5% trên 100 R CN  = 4,5  R  CN</w:t>
      </w:r>
    </w:p>
    <w:p>
      <w:r>
        <w:rPr>
          <w:b w:val="0"/>
          <w:i w:val="0"/>
        </w:rPr>
        <w:t>Chia đôi 4,5 RCN để:</w:t>
      </w:r>
    </w:p>
    <w:p>
      <w:r>
        <w:rPr>
          <w:b w:val="0"/>
          <w:i w:val="0"/>
        </w:rPr>
        <w:t>- Góp vốn với XNLD     2,25 RCN</w:t>
      </w:r>
    </w:p>
    <w:p>
      <w:r>
        <w:rPr>
          <w:b w:val="0"/>
          <w:i w:val="0"/>
        </w:rPr>
        <w:t>- Ngân hàng ghi giảm nợ vay: 2,25 RCN</w:t>
      </w:r>
    </w:p>
    <w:p>
      <w:r>
        <w:rPr>
          <w:b w:val="0"/>
          <w:i w:val="0"/>
        </w:rPr>
        <w:t xml:space="preserve">B - Thanh toán đối nội: </w:t>
      </w:r>
    </w:p>
    <w:p>
      <w:r>
        <w:rPr>
          <w:b w:val="0"/>
          <w:i w:val="0"/>
        </w:rPr>
        <w:t>1) Sau khi phát lệnh giao hàng cho xí nghiệp liên doanh (viết tắt là XNLD) và được XNLD xác nhận trên phiếu giao hàng, Petechim lập hoá đơn và nhờ thu để đòi Ban quản lý công trình của Tổng cục Dầu khi thanh toán phần tiền hàng và  thặng số ngoại thương 4,5% bằng tiền Việt nam. Hoá đơn và nhờ thu này gửi qua Chi nhánh Ngân hàng Ngoại thương thành phố Hồ Chí Minh.</w:t>
      </w:r>
    </w:p>
    <w:p>
      <w:r>
        <w:rPr>
          <w:b w:val="0"/>
          <w:i w:val="0"/>
        </w:rPr>
        <w:t>2) Việc thanh toán tiền hàng và thặng số ngoại thương giữa Petechim và Ban quản lý công trình của Tổng cục Dầu khí được thực hiện theo nguyên tắc: Ngân sách Nhà nước  cấp phát bằng hình thức ghi thu, ghi chi trực tiếp.</w:t>
      </w:r>
    </w:p>
    <w:p>
      <w:r>
        <w:rPr>
          <w:b w:val="0"/>
          <w:i w:val="0"/>
        </w:rPr>
        <w:t>3) Trình tự như sau:</w:t>
      </w:r>
    </w:p>
    <w:p>
      <w:r>
        <w:rPr>
          <w:b w:val="0"/>
          <w:i w:val="0"/>
        </w:rPr>
        <w:t>a/ Petechim:</w:t>
      </w:r>
    </w:p>
    <w:p>
      <w:r>
        <w:rPr>
          <w:b w:val="0"/>
          <w:i w:val="0"/>
        </w:rPr>
        <w:t>- Lập hoá đơn ghi trị giá hàng nhập khẩu bằng RCN.</w:t>
      </w:r>
    </w:p>
    <w:p>
      <w:r>
        <w:rPr>
          <w:b w:val="0"/>
          <w:i w:val="0"/>
        </w:rPr>
        <w:t>- Lập hoá đơn ghi trị giá hàng nhập khẩu và thặng số ngoại thương 4,5% bằng đồng Việt nam.</w:t>
      </w:r>
    </w:p>
    <w:p>
      <w:r>
        <w:rPr>
          <w:b w:val="0"/>
          <w:i w:val="0"/>
        </w:rPr>
        <w:t>- Lập tờ khai phân tích phần tiền hành và thặng số (chia rõ các cột: nộp ngân sách về tiền hành và thặng số, chi phí lưu thông đã được Bộ Ngoại thương duyệt để lại cho Petechim).</w:t>
      </w:r>
    </w:p>
    <w:p>
      <w:r>
        <w:rPr>
          <w:b w:val="0"/>
          <w:i w:val="0"/>
        </w:rPr>
        <w:t>- Lập nhờ thu phần tiền hàng và thặng số.</w:t>
      </w:r>
    </w:p>
    <w:p>
      <w:r>
        <w:rPr>
          <w:b w:val="0"/>
          <w:i w:val="0"/>
        </w:rPr>
        <w:t>Bộ chứng từ trên được chuyển cho chi nhánh Ngân hàng Ngoại thương thành phố Hồ Chí Minh.</w:t>
      </w:r>
    </w:p>
    <w:p>
      <w:r>
        <w:rPr>
          <w:b w:val="0"/>
          <w:i w:val="0"/>
        </w:rPr>
        <w:t>b/ Chi nhánh Ngân hàng ngoại thương TP Hồ Chí Minh:</w:t>
      </w:r>
    </w:p>
    <w:p>
      <w:r>
        <w:rPr>
          <w:b w:val="0"/>
          <w:i w:val="0"/>
        </w:rPr>
        <w:t>Kiểm tra chứng từ của Petechim gửi đến, cho Petechim vay thanh toán phần chi phí LT đã được Bộ Ngoại thương duyệt. Sau đó chuyển chứng từ cho Ngân hàng Đầu tư và Xây dựng TW để Ngân hàng Đầu tư và Xây dựng TW để Ngân hàng Đầu tư và Xây dựng làm các thủ tục với Bộ Tài chính về việc cấp phát vốn Xây dựng cơ bản.</w:t>
      </w:r>
    </w:p>
    <w:p>
      <w:r>
        <w:rPr>
          <w:b w:val="0"/>
          <w:i w:val="0"/>
        </w:rPr>
        <w:t>c/ Bộ Tài chính (Vụ quản lý Ngân sách Nhà nước) làm chứng từ cấp phát:</w:t>
      </w:r>
    </w:p>
    <w:p>
      <w:r>
        <w:rPr>
          <w:b w:val="0"/>
          <w:i w:val="0"/>
        </w:rPr>
        <w:t>- Làm lệnh thanh toán thay mặt cho Ban quản lý công trình Dầu khí Vũng tàu trả tiền hành và thặng số cho Petechim.</w:t>
      </w:r>
    </w:p>
    <w:p>
      <w:r>
        <w:rPr>
          <w:b w:val="0"/>
          <w:i w:val="0"/>
        </w:rPr>
        <w:t>- Làm lệnh thu thay mặt cho Petechim nộp ngân sách Nhà nước tiền hành và thặng số ngoại thương. Đồng thời làm lệnh chi chuyển vốn XDCB cho Ban quản lý công trình Dầu khí Vũng tàu thông qua Ngân hàng Đầu tư và Xây dựng TW.</w:t>
      </w:r>
    </w:p>
    <w:p>
      <w:r>
        <w:rPr>
          <w:b w:val="0"/>
          <w:i w:val="0"/>
        </w:rPr>
        <w:t>4) Ngân hàng Đầu tư và Xây dựng TW nhận được vốn do Ngân sách Nhà nước chuyển đến, thông báo cho Chi nhánh Ngân hàng Đầu tư và Xây dựng Vũng tàu biết để tổ chức việc theo dõi và quản lý.</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t xml:space="preserve"> </w:t>
            </w:r>
            <w:r>
              <w:rPr>
                <w:b w:val="0"/>
                <w:i w:val="0"/>
              </w:rPr>
              <w:br/>
            </w:r>
            <w:r>
              <w:rPr>
                <w:b/>
                <w:i w:val="0"/>
              </w:rPr>
              <w:t>Ngô Thiết Thạch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