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3014/2002/QĐ-BGTVT Về việc cho phép tàu thuyền chở hàng khô vào ra để làm hàng tại Bến số 1 - Cảng Dung Quất.</w:t>
      </w:r>
    </w:p>
    <w:p>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3014/2002/QĐ-BGTVT</w:t>
        <w:br/>
        <w:t xml:space="preserve">    </w:t>
      </w:r>
      <w:r>
        <w:rPr>
          <w:b w:val="0"/>
          <w:i w:val="0"/>
        </w:rPr>
        <w:br/>
      </w:r>
      <w:r>
        <w:rPr>
          <w:b w:val="0"/>
          <w:i/>
        </w:rPr>
        <w:br/>
        <w:t xml:space="preserve">     Hà Nội, ngày 20 tháng 09 năm 2002</w:t>
        <w:br/>
        <w:t xml:space="preserve">    </w:t>
      </w:r>
      <w:r>
        <w:rPr>
          <w:b w:val="0"/>
          <w:i w:val="0"/>
        </w:rPr>
        <w:br/>
      </w:r>
      <w:r>
        <w:rPr>
          <w:b w:val="0"/>
          <w:i w:val="0"/>
        </w:rPr>
        <w:br/>
      </w:r>
    </w:p>
    <w:p>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GIAO THÔNG VẬN TẢI</w:t>
        <w:br/>
        <w:t xml:space="preserve">     </w:t>
      </w:r>
      <w:r>
        <w:rPr>
          <w:b w:val="0"/>
          <w:i w:val="0"/>
        </w:rPr>
        <w:br/>
      </w:r>
      <w:r>
        <w:rPr>
          <w:b w:val="0"/>
          <w:i w:val="0"/>
        </w:rPr>
        <w:br/>
      </w:r>
    </w:p>
    <w:p>
      <w:r>
        <w:rPr>
          <w:b w:val="0"/>
          <w:i w:val="0"/>
        </w:rPr>
        <w:br/>
        <w:t xml:space="preserve">      BỘ GIAO THÔNG VẬN TẢI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3014/2002/QĐ-BGTVT</w:t>
        <w:br/>
        <w:t xml:space="preserve">    </w:t>
      </w:r>
      <w:r>
        <w:rPr>
          <w:b w:val="0"/>
          <w:i w:val="0"/>
        </w:rPr>
        <w:br/>
      </w:r>
      <w:r>
        <w:rPr>
          <w:b w:val="0"/>
          <w:i/>
        </w:rPr>
        <w:br/>
        <w:t xml:space="preserve">     Hà Nội, ngày 20 tháng 09 năm 2002</w:t>
        <w:br/>
        <w:t xml:space="preserve">    </w:t>
      </w:r>
      <w:r>
        <w:rPr>
          <w:b w:val="0"/>
          <w:i w:val="0"/>
        </w:rPr>
        <w:br/>
      </w:r>
    </w:p>
    <w:p>
      <w:pPr>
        <w:jc w:val="center"/>
      </w:pPr>
      <w:r>
        <w:rPr>
          <w:b w:val="0"/>
          <w:i w:val="0"/>
        </w:rPr>
        <w:br/>
        <w:t xml:space="preserve">     Số: 3014/2002/QĐ-BGTVT</w:t>
        <w:br/>
        <w:t xml:space="preserve">    </w:t>
      </w:r>
    </w:p>
    <w:p>
      <w:pPr>
        <w:jc w:val="center"/>
      </w:pPr>
      <w:r>
        <w:rPr>
          <w:b w:val="0"/>
          <w:i w:val="0"/>
        </w:rPr>
        <w:br/>
        <w:t xml:space="preserve">     Hà Nội, ngày 20 tháng 09 năm 2002</w:t>
        <w:br/>
        <w:t xml:space="preserve">    </w:t>
      </w:r>
    </w:p>
    <w:p>
      <w:r>
        <w:rPr>
          <w:b w:val="0"/>
          <w:i w:val="0"/>
        </w:rPr>
        <w:br/>
      </w:r>
      <w:r>
        <w:rPr>
          <w:b/>
          <w:i w:val="0"/>
        </w:rPr>
        <w:t>QUYẾT ĐỊNH</w:t>
      </w:r>
      <w:r>
        <w:rPr>
          <w:b w:val="0"/>
          <w:i w:val="0"/>
        </w:rPr>
        <w:br/>
      </w:r>
      <w:r>
        <w:rPr>
          <w:b/>
          <w:i w:val="0"/>
        </w:rPr>
        <w:t>Về việc cho phép tàu thuyền chở hàng khô vào ra để làm hàng tại Bến số 1 - Cảng Dung Quất</w:t>
      </w:r>
      <w:r>
        <w:rPr>
          <w:b w:val="0"/>
          <w:i w:val="0"/>
        </w:rPr>
        <w:br/>
      </w:r>
      <w:r>
        <w:rPr>
          <w:b/>
          <w:i w:val="0"/>
        </w:rPr>
        <w:t>___________________</w:t>
      </w:r>
      <w:r>
        <w:rPr>
          <w:b w:val="0"/>
          <w:i w:val="0"/>
        </w:rPr>
        <w:br/>
      </w:r>
      <w:r>
        <w:rPr>
          <w:b w:val="0"/>
          <w:i w:val="0"/>
        </w:rPr>
        <w:t xml:space="preserve"> </w:t>
      </w:r>
      <w:r>
        <w:rPr>
          <w:b w:val="0"/>
          <w:i w:val="0"/>
        </w:rPr>
        <w:br/>
      </w:r>
      <w:r>
        <w:rPr>
          <w:b/>
          <w:i w:val="0"/>
        </w:rPr>
        <w:t>BỘ TRƯỞNG BỘ GIAO THÔNG VẬN TẢI</w:t>
      </w:r>
      <w:r>
        <w:rPr>
          <w:b w:val="0"/>
          <w:i w:val="0"/>
        </w:rPr>
        <w:br/>
      </w:r>
      <w:r>
        <w:rPr>
          <w:b w:val="0"/>
          <w:i/>
        </w:rPr>
        <w:t>Căn cứ Nghị định số 22/CP ngày 22/3/1994 của Chính phủ qui định về nhiệm vụ, quyền hạn, trách nhiệm quản lý nhà nước và cơ cấu tổ chức bộ máy của Bộ Giao thông vận tải;</w:t>
      </w:r>
      <w:r>
        <w:rPr>
          <w:b w:val="0"/>
          <w:i w:val="0"/>
        </w:rPr>
        <w:br/>
      </w:r>
      <w:r>
        <w:rPr>
          <w:b w:val="0"/>
          <w:i/>
        </w:rPr>
        <w:t>Căn cứ Nghị định số 13/CP ngày 25/2/1994 của Chính Phủ ban hành “Quy chế quản lý hoạt động hàng hải tại cảng biển và các khu vực hàng hải ở Việt Nam”; Nghị định số: 24/2001/NĐ-CP ngày 30/5/2001 của Chính phủ về sửa đổi, bổ sung một số điều của Quy chế quản lý hoạt động hàng hải tại cảng biển và các khu vực hàng hải ở Việt Nam ban hành kèm theo Nghị định số 13/CP ngày 25/2/1994 của Chính phủ;</w:t>
      </w:r>
      <w:r>
        <w:rPr>
          <w:b w:val="0"/>
          <w:i w:val="0"/>
        </w:rPr>
        <w:br/>
      </w:r>
      <w:r>
        <w:rPr>
          <w:b w:val="0"/>
          <w:i/>
        </w:rPr>
        <w:t xml:space="preserve">Xét đề nghị của Vụ trưởng Vụ Pháp chế - Vận tải và Cục trưởng Cục Hàng hải Việt Nam, </w:t>
      </w:r>
      <w:r>
        <w:rPr>
          <w:b w:val="0"/>
          <w:i w:val="0"/>
        </w:rPr>
        <w:br/>
      </w:r>
      <w:r>
        <w:rPr>
          <w:b/>
          <w:i w:val="0"/>
        </w:rPr>
        <w:t>QUYẾT ĐỊNH:</w:t>
      </w:r>
      <w:r>
        <w:rPr>
          <w:b w:val="0"/>
          <w:i w:val="0"/>
        </w:rPr>
        <w:br/>
      </w:r>
      <w:r>
        <w:rPr>
          <w:b/>
          <w:i w:val="0"/>
        </w:rPr>
        <w:t>Điều 1. -</w:t>
      </w:r>
      <w:r>
        <w:rPr>
          <w:b w:val="0"/>
          <w:i w:val="0"/>
        </w:rPr>
        <w:br/>
      </w:r>
      <w:r>
        <w:rPr>
          <w:b w:val="0"/>
          <w:i w:val="0"/>
        </w:rPr>
        <w:t>1. Cho phép Bến số 1- Cảng Dung Quất của Công ty liên doanh Nhà máy lọc dầu Việt-Nga được tiếp nhận tàu thuyền chở hàng khô của Việt Nam và nước ngoài có trọng tải đến 10.000DWT vào ra để làm hàng.</w:t>
      </w:r>
      <w:r>
        <w:rPr>
          <w:b w:val="0"/>
          <w:i w:val="0"/>
        </w:rPr>
        <w:br/>
      </w:r>
      <w:r>
        <w:rPr>
          <w:b/>
          <w:i w:val="0"/>
        </w:rPr>
        <w:t>Điều 2. -</w:t>
      </w:r>
      <w:r>
        <w:rPr>
          <w:b w:val="0"/>
          <w:i w:val="0"/>
        </w:rPr>
        <w:br/>
      </w:r>
      <w:r>
        <w:rPr>
          <w:b w:val="0"/>
          <w:i w:val="0"/>
        </w:rPr>
        <w:t>Tàu thuyền ra vào cầu Bến số 1- Cảng Dung Quất phải đến vị trí đón trả hoa tiêu tại vùng nước có bán kính 01 hải lý với tâm có toạ độ như sau:</w:t>
      </w:r>
      <w:r>
        <w:rPr>
          <w:b w:val="0"/>
          <w:i w:val="0"/>
        </w:rPr>
        <w:br/>
      </w:r>
      <w:r>
        <w:rPr>
          <w:b w:val="0"/>
          <w:i w:val="0"/>
        </w:rPr>
        <w:t>- Vĩ độ: 15o 26' 30" N.</w:t>
      </w:r>
      <w:r>
        <w:rPr>
          <w:b w:val="0"/>
          <w:i w:val="0"/>
        </w:rPr>
        <w:br/>
      </w:r>
      <w:r>
        <w:rPr>
          <w:b w:val="0"/>
          <w:i w:val="0"/>
        </w:rPr>
        <w:t>- Kinh độ: 108o 45' 30" E.</w:t>
      </w:r>
      <w:r>
        <w:rPr>
          <w:b w:val="0"/>
          <w:i w:val="0"/>
        </w:rPr>
        <w:br/>
      </w:r>
      <w:r>
        <w:rPr>
          <w:b/>
          <w:i w:val="0"/>
        </w:rPr>
        <w:t>Điều 3. -</w:t>
      </w:r>
      <w:r>
        <w:rPr>
          <w:b w:val="0"/>
          <w:i w:val="0"/>
        </w:rPr>
        <w:br/>
      </w:r>
      <w:r>
        <w:rPr>
          <w:b w:val="0"/>
          <w:i w:val="0"/>
        </w:rPr>
        <w:t>1. Cảng vụ Quảng Ngãi có trách nhiệm quản lý Nhà nước chuyên ngành về hàng hải tại khu vực Bến số1- Cảng Dung Quất và căn cứ vào tình hình thời tiết, các điều kiện khai thác của cầu bến, mớn nước cụ thể của tàu thuyền để ra quyết định cho phép tàu thuyền vào ra cầu Bến số 1 - Cảng Dung Quất an toàn.</w:t>
      </w:r>
      <w:r>
        <w:rPr>
          <w:b w:val="0"/>
          <w:i w:val="0"/>
        </w:rPr>
        <w:br/>
      </w:r>
      <w:r>
        <w:rPr>
          <w:b w:val="0"/>
          <w:i w:val="0"/>
        </w:rPr>
        <w:t>2. Cảng vụ Quảng Ngãi được thu các khoản phí theo quy định của pháp luật.</w:t>
      </w:r>
      <w:r>
        <w:rPr>
          <w:b w:val="0"/>
          <w:i w:val="0"/>
        </w:rPr>
        <w:br/>
      </w:r>
      <w:r>
        <w:rPr>
          <w:b/>
          <w:i w:val="0"/>
        </w:rPr>
        <w:t xml:space="preserve">Điều 4. </w:t>
      </w:r>
      <w:r>
        <w:rPr>
          <w:b w:val="0"/>
          <w:i w:val="0"/>
        </w:rPr>
        <w:t>- Công ty liên doanh Nhà máy lọc dầu Việt - Nga có trách nhiệm cung cấp các tài liệu liên quan đến cầu bến cho Cảng vụ Quảng Ngãi, tổ chức khai thác Bến số 1- Cảng Dung Quất an toàn, đúng mục đích và được thu các khoản cước phí theo quy định của pháp luật.</w:t>
      </w:r>
      <w:r>
        <w:rPr>
          <w:b w:val="0"/>
          <w:i w:val="0"/>
        </w:rPr>
        <w:br/>
      </w:r>
      <w:r>
        <w:rPr>
          <w:b/>
          <w:i w:val="0"/>
        </w:rPr>
        <w:t xml:space="preserve">Điều 5. - </w:t>
      </w:r>
      <w:r>
        <w:rPr>
          <w:b w:val="0"/>
          <w:i w:val="0"/>
        </w:rPr>
        <w:t>Các cơ quan có chức năng quản lý Nhà nước của các Bộ, ngành liên quan thực hiện nhiệm vụ, quyền hạn của mình theo quy định của pháp luật tại cầu Bến số 1- Cảng Dung Quất.</w:t>
      </w:r>
      <w:r>
        <w:rPr>
          <w:b w:val="0"/>
          <w:i w:val="0"/>
        </w:rPr>
        <w:br/>
      </w:r>
      <w:r>
        <w:rPr>
          <w:b/>
          <w:i w:val="0"/>
        </w:rPr>
        <w:t>Điều 6. -</w:t>
      </w:r>
      <w:r>
        <w:rPr>
          <w:b w:val="0"/>
          <w:i w:val="0"/>
        </w:rPr>
        <w:br/>
      </w:r>
      <w:r>
        <w:rPr>
          <w:b w:val="0"/>
          <w:i w:val="0"/>
        </w:rPr>
        <w:t>1. Quyết định này có hiệu lực từ ngày 01 tháng 10 năm 2002.</w:t>
      </w:r>
      <w:r>
        <w:rPr>
          <w:b w:val="0"/>
          <w:i w:val="0"/>
        </w:rPr>
        <w:br/>
      </w:r>
      <w:r>
        <w:rPr>
          <w:b w:val="0"/>
          <w:i w:val="0"/>
        </w:rPr>
        <w:t>2. Các ông Chánh Văn phòng Bộ, Vụ trưởng Vụ Pháp chế - Vận tải Bộ Giao thông vận tải, Cục trưởng Cục Hàng hải Việt Nam, Giám đốc Cảng vụ Quảng Ngãi, Công ty liên doanh Nhà máy lọc dầu Việt - Nga, Thủ trưởng các cơ quan, đơn vị và cá nhân liên quan chịu trách nhiệm thi hành Quyết định này.</w:t>
      </w:r>
      <w:r>
        <w:rPr>
          <w:b w:val="0"/>
          <w:i w:val="0"/>
        </w:rPr>
        <w:br/>
      </w:r>
    </w:p>
    <w:p>
      <w:r>
        <w:rPr>
          <w:b w:val="0"/>
          <w:i w:val="0"/>
        </w:rPr>
        <w:br/>
      </w:r>
      <w:r>
        <w:rPr>
          <w:b/>
          <w:i w:val="0"/>
        </w:rPr>
        <w:br/>
      </w:r>
      <w:r>
        <w:rPr>
          <w:b/>
          <w:i w:val="0"/>
        </w:rPr>
        <w:br/>
        <w:t xml:space="preserve">     KT. BỘ TRƯỞNG Bộ giao </w:t>
        <w:br/>
        <w:t xml:space="preserve">    </w:t>
      </w:r>
      <w:r>
        <w:rPr>
          <w:b/>
          <w:i w:val="0"/>
        </w:rPr>
        <w:br/>
      </w:r>
      <w:r>
        <w:rPr>
          <w:b/>
          <w:i w:val="0"/>
        </w:rPr>
        <w:br/>
        <w:t xml:space="preserve">     thông vận tải</w:t>
        <w:br/>
        <w:t xml:space="preserve">    </w:t>
      </w:r>
      <w:r>
        <w:rPr>
          <w:b/>
          <w:i w:val="0"/>
        </w:rPr>
        <w:br/>
      </w:r>
      <w:r>
        <w:rPr>
          <w:b/>
          <w:i w:val="0"/>
        </w:rPr>
        <w:br/>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Phạm Thế Minh</w:t>
        <w:br/>
        <w:t xml:space="preserve">    </w:t>
      </w:r>
      <w:r>
        <w:rPr>
          <w:b/>
          <w:i w:val="0"/>
        </w:rPr>
        <w:br/>
      </w:r>
      <w:r>
        <w:rPr>
          <w:b w:val="0"/>
          <w:i w:val="0"/>
        </w:rPr>
        <w:br/>
      </w:r>
    </w:p>
    <w:p>
      <w:pPr>
        <w:jc w:val="center"/>
      </w:pPr>
      <w:r>
        <w:rPr>
          <w:b w:val="0"/>
          <w:i w:val="0"/>
        </w:rPr>
        <w:br/>
      </w:r>
      <w:r>
        <w:rPr>
          <w:b/>
          <w:i w:val="0"/>
        </w:rPr>
        <w:br/>
        <w:t xml:space="preserve">     KT. BỘ TRƯỞNG Bộ giao </w:t>
        <w:br/>
        <w:t xml:space="preserve">    </w:t>
      </w:r>
      <w:r>
        <w:rPr>
          <w:b w:val="0"/>
          <w:i w:val="0"/>
        </w:rPr>
        <w:br/>
      </w:r>
      <w:r>
        <w:rPr>
          <w:b/>
          <w:i w:val="0"/>
        </w:rPr>
        <w:br/>
        <w:t xml:space="preserve">     thông vận tải</w:t>
        <w:br/>
        <w:t xml:space="preserve">    </w:t>
      </w:r>
      <w:r>
        <w:rPr>
          <w:b w:val="0"/>
          <w:i w:val="0"/>
        </w:rPr>
        <w:br/>
      </w:r>
      <w:r>
        <w:rPr>
          <w:b/>
          <w:i w:val="0"/>
        </w:rPr>
        <w:br/>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Phạm Thế Minh</w:t>
        <w:br/>
        <w:t xml:space="preserve">    </w:t>
      </w:r>
      <w:r>
        <w:rPr>
          <w:b w:val="0"/>
          <w:i w:val="0"/>
        </w:rPr>
        <w:br/>
      </w:r>
    </w:p>
    <w:p>
      <w:r>
        <w:rPr>
          <w:b w:val="0"/>
          <w:i w:val="0"/>
        </w:rPr>
        <w:br/>
        <w:t xml:space="preserve">     KT. BỘ TRƯỞNG Bộ giao </w:t>
        <w:br/>
        <w:t xml:space="preserve">    </w:t>
      </w:r>
    </w:p>
    <w:p>
      <w:r>
        <w:rPr>
          <w:b w:val="0"/>
          <w:i w:val="0"/>
        </w:rPr>
        <w:br/>
        <w:t xml:space="preserve">     thông vận tải</w:t>
        <w:br/>
        <w:t xml:space="preserve">    </w:t>
      </w:r>
    </w:p>
    <w:p>
      <w:r>
        <w:rPr>
          <w:b w:val="0"/>
          <w:i w:val="0"/>
        </w:rPr>
        <w:br/>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Phạm Thế Minh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